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95" w:rsidRPr="00D84595" w:rsidRDefault="00D84595" w:rsidP="00D845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84848"/>
          <w:sz w:val="30"/>
          <w:szCs w:val="30"/>
          <w:lang w:eastAsia="ru-RU"/>
        </w:rPr>
      </w:pPr>
      <w:bookmarkStart w:id="0" w:name="_GoBack"/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232EE5A" wp14:editId="76EE92C3">
            <wp:simplePos x="0" y="0"/>
            <wp:positionH relativeFrom="margin">
              <wp:posOffset>-80010</wp:posOffset>
            </wp:positionH>
            <wp:positionV relativeFrom="margin">
              <wp:posOffset>588010</wp:posOffset>
            </wp:positionV>
            <wp:extent cx="2717800" cy="1359535"/>
            <wp:effectExtent l="0" t="0" r="6350" b="0"/>
            <wp:wrapSquare wrapText="bothSides"/>
            <wp:docPr id="10" name="Рисунок 10" descr="Профилактическая акция &quot;Декада кибербезопас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ческая акция &quot;Декада кибербезопасност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84595">
        <w:rPr>
          <w:rFonts w:ascii="Times New Roman" w:eastAsia="Times New Roman" w:hAnsi="Times New Roman" w:cs="Times New Roman"/>
          <w:b/>
          <w:bCs/>
          <w:caps/>
          <w:color w:val="484848"/>
          <w:sz w:val="30"/>
          <w:szCs w:val="30"/>
          <w:lang w:eastAsia="ru-RU"/>
        </w:rPr>
        <w:t>Профилактическая акция "Декада кибербезопасности"</w:t>
      </w:r>
    </w:p>
    <w:p w:rsidR="00D84595" w:rsidRPr="00D84595" w:rsidRDefault="00D84595" w:rsidP="00D84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С 20 октября</w:t>
      </w:r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 xml:space="preserve"> 2024 года по 2</w:t>
      </w:r>
      <w:r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9</w:t>
      </w:r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 xml:space="preserve"> октября 2024 года проходит профилактическая акция "Декада </w:t>
      </w:r>
      <w:proofErr w:type="spellStart"/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кибербезопасности</w:t>
      </w:r>
      <w:proofErr w:type="spellEnd"/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"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Не попадитесь на уловки мошенников! Помните: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представители правоохранительных органов,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государственных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организаций </w:t>
      </w:r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 xml:space="preserve">НИКОГДА НЕ </w:t>
      </w:r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ЗВОНЯТ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 на </w:t>
      </w:r>
      <w:r w:rsidRPr="00D84595">
        <w:rPr>
          <w:rFonts w:ascii="Times New Roman" w:eastAsia="Times New Roman" w:hAnsi="Times New Roman" w:cs="Times New Roman"/>
          <w:b/>
          <w:bCs/>
          <w:color w:val="484848"/>
          <w:sz w:val="30"/>
          <w:szCs w:val="30"/>
          <w:lang w:eastAsia="ru-RU"/>
        </w:rPr>
        <w:t>МЕССЕНДЖЕРЫ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!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(исключения, если Вы сами дали свой номер для связи сотруднику и знаете его лично).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ни под каким предлогом не соо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бщайте по телефону персональные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(паспортные) данные, номера банковск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их карт или одноразовые пароли,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пришедшие Вам на мобильный телефон;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приложение мобильного опер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атора можно скачивать только из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магазинов «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Google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Play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», «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App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Store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», «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Ap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p</w:t>
      </w:r>
      <w:proofErr w:type="spellEnd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Gallery</w:t>
      </w:r>
      <w:proofErr w:type="spellEnd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», а не с направленных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Вам ссылок на сайты незнакомыми лицами;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никогда не оформляйте кредиты по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просьбе или требованию третьих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лиц;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не проводите через банкома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ты, а также системы банковского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обслуживания сети интернет, никакие денеж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ные операции по инструкциям,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полученным по телефону или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мессенджеру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.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Если поступил сомнительный звонок, незамедлительно завершите разговор и обратитесь в милицию по номеру «102».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Наиболее актуальные преступные схемы: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- Поступает звонок в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мессенджере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(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Teleg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ram</w:t>
      </w:r>
      <w:proofErr w:type="spellEnd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), звонивший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представляется:</w:t>
      </w:r>
    </w:p>
    <w:p w:rsidR="00D84595" w:rsidRPr="00D84595" w:rsidRDefault="00D84595" w:rsidP="00D84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Милиционером, следователем (сотрудником других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правоохранительных органов), Вас пытаются убедить: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- родственник, иной близкий 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человек, спровоцировал ДТП, для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избежания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уголовной ответственности необходимо срочно передать через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курьера денежные средства пострадавшему;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поучаствовать в операци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и по разоблачению преступников,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оформивших кредит на Ваше имя, для 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чего перечислить Ваши деньги на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«безопас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ный» счет, либо оформить кредит (для дистанционной помощи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сообщить Ваши персональные данные, </w:t>
      </w:r>
      <w:proofErr w:type="gram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код</w:t>
      </w:r>
      <w:proofErr w:type="gram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пришедший на телефон);</w:t>
      </w:r>
    </w:p>
    <w:p w:rsidR="00D84595" w:rsidRPr="00D84595" w:rsidRDefault="00D84595" w:rsidP="00D84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Сотрудником банка, представителем операторов сотовой связи, домашней теле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фонии, провайдера сети интернет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(РУП «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Белтелеком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и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д.р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.), Вас пытаются убедить: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lastRenderedPageBreak/>
        <w:t>- передать (перечислить) Ваши деньги представителю банк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а для их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декларирования;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перезакл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ючить (обновить) договоры услуг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(мобильной/стационарной связи, д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оступа к сети интернет и </w:t>
      </w:r>
      <w:proofErr w:type="spellStart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д.р</w:t>
      </w:r>
      <w:proofErr w:type="spellEnd"/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.), перейдя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по направленной мошенником 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ссылке для установки приложения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(помните, договоры на оказания таких </w:t>
      </w:r>
      <w:proofErr w:type="gram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услуг</w:t>
      </w:r>
      <w:proofErr w:type="gram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как правило бессрочны);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р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еклама в сети интернет, пред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лагающая вложить (использовать)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Ваши накопления с доходо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м на «крайне выгодных» условиях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(инновационные средства заработка, з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аработок на бирже, приобретение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криптовалюты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, вложения сре</w:t>
      </w:r>
      <w:proofErr w:type="gram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дств с п</w:t>
      </w:r>
      <w:proofErr w:type="gram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овышенной доходностью по с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четам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и вкладам).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Приобретение в сети интернет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 товаров по цене ниже рыночной,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в </w:t>
      </w:r>
      <w:proofErr w:type="spellStart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т.ч</w:t>
      </w:r>
      <w:proofErr w:type="spellEnd"/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. перечисление предоплаты в адрес продавца для его брони.</w:t>
      </w:r>
    </w:p>
    <w:p w:rsidR="00D84595" w:rsidRPr="00D84595" w:rsidRDefault="00D84595" w:rsidP="00D84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- Сообщения (реклам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а, звонок) о выигрыше в лотерее (ином розыгрыша)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с условием, ч</w:t>
      </w:r>
      <w:r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 xml:space="preserve">то для его получения необходимо </w:t>
      </w: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предварительно перечислить деньги.</w:t>
      </w:r>
    </w:p>
    <w:p w:rsidR="00D84595" w:rsidRPr="00D84595" w:rsidRDefault="00D84595" w:rsidP="00D8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</w:pPr>
      <w:r w:rsidRPr="00D84595">
        <w:rPr>
          <w:rFonts w:ascii="Times New Roman" w:eastAsia="Times New Roman" w:hAnsi="Times New Roman" w:cs="Times New Roman"/>
          <w:color w:val="484848"/>
          <w:sz w:val="30"/>
          <w:szCs w:val="30"/>
          <w:lang w:eastAsia="ru-RU"/>
        </w:rPr>
        <w:t>Будьте бдительны! Эти знания помогут спасти Ваши деньги!</w:t>
      </w:r>
    </w:p>
    <w:sectPr w:rsidR="00D84595" w:rsidRPr="00D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525"/>
    <w:multiLevelType w:val="multilevel"/>
    <w:tmpl w:val="18F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460F2"/>
    <w:multiLevelType w:val="multilevel"/>
    <w:tmpl w:val="F4EE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F1A06"/>
    <w:multiLevelType w:val="multilevel"/>
    <w:tmpl w:val="0880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60F78"/>
    <w:multiLevelType w:val="multilevel"/>
    <w:tmpl w:val="5E8A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45EFC"/>
    <w:multiLevelType w:val="multilevel"/>
    <w:tmpl w:val="7CD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95"/>
    <w:rsid w:val="00D84595"/>
    <w:rsid w:val="00D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9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2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8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F3E3"/>
                        <w:right w:val="none" w:sz="0" w:space="0" w:color="auto"/>
                      </w:divBdr>
                    </w:div>
                    <w:div w:id="10652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71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16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18266">
                  <w:marLeft w:val="3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1356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5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2F3E3"/>
                            <w:right w:val="none" w:sz="0" w:space="0" w:color="auto"/>
                          </w:divBdr>
                        </w:div>
                        <w:div w:id="19441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752634">
                  <w:marLeft w:val="3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626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3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2F3E3"/>
                            <w:right w:val="none" w:sz="0" w:space="0" w:color="auto"/>
                          </w:divBdr>
                        </w:div>
                        <w:div w:id="7440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745719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8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2F3E3"/>
                            <w:right w:val="none" w:sz="0" w:space="0" w:color="auto"/>
                          </w:divBdr>
                        </w:div>
                        <w:div w:id="11060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Екатерина Сергеевна</dc:creator>
  <cp:lastModifiedBy>Никифорова Екатерина Сергеевна</cp:lastModifiedBy>
  <cp:revision>1</cp:revision>
  <dcterms:created xsi:type="dcterms:W3CDTF">2024-10-18T09:05:00Z</dcterms:created>
  <dcterms:modified xsi:type="dcterms:W3CDTF">2024-10-18T09:11:00Z</dcterms:modified>
</cp:coreProperties>
</file>