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B4F2A">
      <w:pPr>
        <w:pStyle w:val="newncpi0"/>
        <w:jc w:val="center"/>
        <w:divId w:val="633025697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5B4F2A">
      <w:pPr>
        <w:pStyle w:val="newncpi0"/>
        <w:jc w:val="center"/>
        <w:divId w:val="633025697"/>
        <w:rPr>
          <w:lang w:val="ru-RU"/>
        </w:rPr>
      </w:pPr>
      <w:bookmarkStart w:id="1" w:name="a4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:rsidR="00000000" w:rsidRDefault="005B4F2A">
      <w:pPr>
        <w:pStyle w:val="newncpi"/>
        <w:ind w:firstLine="0"/>
        <w:jc w:val="center"/>
        <w:divId w:val="633025697"/>
        <w:rPr>
          <w:lang w:val="ru-RU"/>
        </w:rPr>
      </w:pPr>
      <w:r>
        <w:rPr>
          <w:rStyle w:val="datepr"/>
          <w:lang w:val="ru-RU"/>
        </w:rPr>
        <w:t>16 октября 2024 г.</w:t>
      </w:r>
      <w:r>
        <w:rPr>
          <w:rStyle w:val="number"/>
          <w:lang w:val="ru-RU"/>
        </w:rPr>
        <w:t xml:space="preserve"> № 713(5)</w:t>
      </w:r>
    </w:p>
    <w:p w:rsidR="00000000" w:rsidRDefault="005B4F2A">
      <w:pPr>
        <w:pStyle w:val="titlencpi"/>
        <w:divId w:val="633025697"/>
        <w:rPr>
          <w:lang w:val="ru-RU"/>
        </w:rPr>
      </w:pPr>
      <w:r>
        <w:rPr>
          <w:color w:val="000080"/>
          <w:lang w:val="ru-RU"/>
        </w:rPr>
        <w:t xml:space="preserve">Об изменении </w:t>
      </w:r>
      <w:hyperlink r:id="rId4" w:anchor="a19" w:tooltip="+" w:history="1">
        <w:r>
          <w:rPr>
            <w:rStyle w:val="a3"/>
            <w:lang w:val="ru-RU"/>
          </w:rPr>
          <w:t>постановления</w:t>
        </w:r>
      </w:hyperlink>
      <w:r>
        <w:rPr>
          <w:color w:val="000080"/>
          <w:lang w:val="ru-RU"/>
        </w:rPr>
        <w:t xml:space="preserve"> Совета Министров Республики Беларусь от 19 октября 2022 г. № 713</w:t>
      </w:r>
    </w:p>
    <w:p w:rsidR="00000000" w:rsidRDefault="005B4F2A">
      <w:pPr>
        <w:pStyle w:val="preamble"/>
        <w:divId w:val="633025697"/>
        <w:rPr>
          <w:lang w:val="ru-RU"/>
        </w:rPr>
      </w:pPr>
      <w:r>
        <w:rPr>
          <w:lang w:val="ru-RU"/>
        </w:rPr>
        <w:t xml:space="preserve">На основании </w:t>
      </w:r>
      <w:hyperlink r:id="rId5" w:anchor="a16" w:tooltip="+" w:history="1">
        <w:r>
          <w:rPr>
            <w:rStyle w:val="a3"/>
            <w:lang w:val="ru-RU"/>
          </w:rPr>
          <w:t>пункта 2</w:t>
        </w:r>
      </w:hyperlink>
      <w:r>
        <w:rPr>
          <w:lang w:val="ru-RU"/>
        </w:rPr>
        <w:t xml:space="preserve"> Указа Президента Республики Беларусь от 13 июня 2023 г. № 171 «О принятии мер в области ценообразования» Совет Министров Республики Беларусь ПОСТАНОВЛЯЕТ:</w:t>
      </w:r>
    </w:p>
    <w:p w:rsidR="00000000" w:rsidRDefault="005B4F2A">
      <w:pPr>
        <w:pStyle w:val="point"/>
        <w:divId w:val="633025697"/>
        <w:rPr>
          <w:lang w:val="ru-RU"/>
        </w:rPr>
      </w:pPr>
      <w:r>
        <w:rPr>
          <w:lang w:val="ru-RU"/>
        </w:rPr>
        <w:t>1. Внести в </w:t>
      </w:r>
      <w:hyperlink r:id="rId6" w:anchor="a19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 19 октября 2022 г. № 713 «О системе регулирования цен» следующие изменения: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2" w:name="a9"/>
      <w:bookmarkEnd w:id="2"/>
      <w:r>
        <w:rPr>
          <w:lang w:val="ru-RU"/>
        </w:rPr>
        <w:t>часть первую пункта 1 после слов «Республики Беларусь» дополнить словами «(далее – внутренний рынок)</w:t>
      </w:r>
      <w:r>
        <w:rPr>
          <w:lang w:val="ru-RU"/>
        </w:rPr>
        <w:t>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3" w:name="a10"/>
      <w:bookmarkEnd w:id="3"/>
      <w:r>
        <w:rPr>
          <w:lang w:val="ru-RU"/>
        </w:rPr>
        <w:t>часть первую подпункта 3.7 пункта 3 после слов «потребительского товара» и «цене его реализации» дополнить словами «на внутренний рынок»;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4" w:name="a8"/>
      <w:bookmarkEnd w:id="4"/>
      <w:r>
        <w:rPr>
          <w:lang w:val="ru-RU"/>
        </w:rPr>
        <w:t>в части третьей пункта 4 и части четвертой пункта 4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слова «допущено превышение установленного параметра по индексу</w:t>
      </w:r>
      <w:r>
        <w:rPr>
          <w:lang w:val="ru-RU"/>
        </w:rPr>
        <w:t xml:space="preserve"> потребительских цен» заменить словами «превышен определенный МАРТ показатель ежемесячного допустимого роста цен»;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5" w:name="a11"/>
      <w:bookmarkEnd w:id="5"/>
      <w:r>
        <w:rPr>
          <w:lang w:val="ru-RU"/>
        </w:rPr>
        <w:t>в пункте 4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слова «не выше отпускной цены на потребительский товар» заменить словами «не выше отпускной цены реализации на внутренний рынок п</w:t>
      </w:r>
      <w:r>
        <w:rPr>
          <w:lang w:val="ru-RU"/>
        </w:rPr>
        <w:t>отребительского товара»;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6" w:name="a12"/>
      <w:bookmarkEnd w:id="6"/>
      <w:r>
        <w:rPr>
          <w:lang w:val="ru-RU"/>
        </w:rPr>
        <w:t>из части второй пункта 5 слова «за исключением случая, предусмотренного в абзаце третьем части третьей пункта 11 настоящего постановления,» исключить;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в пункте 11: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7" w:name="a13"/>
      <w:bookmarkEnd w:id="7"/>
      <w:r>
        <w:rPr>
          <w:lang w:val="ru-RU"/>
        </w:rPr>
        <w:t>части третью и четвертую изложить в следующей редакции: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8" w:name="a2"/>
      <w:bookmarkEnd w:id="8"/>
      <w:r>
        <w:rPr>
          <w:lang w:val="ru-RU"/>
        </w:rPr>
        <w:t>«С 21 октяб</w:t>
      </w:r>
      <w:r>
        <w:rPr>
          <w:lang w:val="ru-RU"/>
        </w:rPr>
        <w:t>ря по декабрь 2024 г. и с января по май 2025 г. на потребительские товары, указанные в пунктах 84–88, 90 и 99 приложения 1, в том числе реализуемые из стабилизационных фондов, предельные максимальные отпускные цены применяются в значениях, установленных в </w:t>
      </w:r>
      <w:r>
        <w:rPr>
          <w:lang w:val="ru-RU"/>
        </w:rPr>
        <w:t>перечне согласно приложению 1</w:t>
      </w:r>
      <w:r>
        <w:rPr>
          <w:vertAlign w:val="superscript"/>
          <w:lang w:val="ru-RU"/>
        </w:rPr>
        <w:t>1</w:t>
      </w:r>
      <w:r>
        <w:rPr>
          <w:lang w:val="ru-RU"/>
        </w:rPr>
        <w:t>.</w:t>
      </w:r>
    </w:p>
    <w:p w:rsidR="00000000" w:rsidRDefault="005B4F2A">
      <w:pPr>
        <w:shd w:val="clear" w:color="auto" w:fill="F4F4F4"/>
        <w:divId w:val="520240129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  <w:lang w:val="ru-RU"/>
        </w:rPr>
        <w:t>От редакции «Бизнес-Инфо»</w:t>
      </w:r>
      <w:r>
        <w:rPr>
          <w:rFonts w:eastAsia="Times New Roman"/>
          <w:lang w:val="ru-RU"/>
        </w:rPr>
        <w:t xml:space="preserve"> </w:t>
      </w:r>
    </w:p>
    <w:p w:rsidR="00000000" w:rsidRDefault="005B4F2A">
      <w:pPr>
        <w:pStyle w:val="inserttext"/>
        <w:shd w:val="clear" w:color="auto" w:fill="F4F4F4"/>
        <w:divId w:val="520240129"/>
        <w:rPr>
          <w:lang w:val="ru-RU"/>
        </w:rPr>
      </w:pPr>
      <w:r>
        <w:rPr>
          <w:lang w:val="ru-RU"/>
        </w:rPr>
        <w:t xml:space="preserve">Абзац 9 п.1 вступает в силу с 21 октября 2024 г. (см. </w:t>
      </w:r>
      <w:hyperlink w:anchor="a5" w:tooltip="+" w:history="1">
        <w:r>
          <w:rPr>
            <w:rStyle w:val="a3"/>
            <w:lang w:val="ru-RU"/>
          </w:rPr>
          <w:t>п.3</w:t>
        </w:r>
      </w:hyperlink>
      <w:r>
        <w:rPr>
          <w:lang w:val="ru-RU"/>
        </w:rPr>
        <w:t xml:space="preserve"> постановления).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9" w:name="a3"/>
      <w:bookmarkEnd w:id="9"/>
      <w:r>
        <w:rPr>
          <w:lang w:val="ru-RU"/>
        </w:rPr>
        <w:t>С 29 октября по декабрь 2024 г. и с января по май 2025 г. на потребительские т</w:t>
      </w:r>
      <w:r>
        <w:rPr>
          <w:lang w:val="ru-RU"/>
        </w:rPr>
        <w:t>овары, указанные в пунктах 84–88, 90 и 99 приложения 1, предельные максимальные розничные (оптовые) цены применяются в значениях, установленных в перечне согласно приложению 1</w:t>
      </w:r>
      <w:r>
        <w:rPr>
          <w:vertAlign w:val="superscript"/>
          <w:lang w:val="ru-RU"/>
        </w:rPr>
        <w:t>2</w:t>
      </w:r>
      <w:r>
        <w:rPr>
          <w:lang w:val="ru-RU"/>
        </w:rPr>
        <w:t>.»;</w:t>
      </w:r>
    </w:p>
    <w:p w:rsidR="00000000" w:rsidRDefault="005B4F2A">
      <w:pPr>
        <w:shd w:val="clear" w:color="auto" w:fill="F4F4F4"/>
        <w:divId w:val="341056861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  <w:lang w:val="ru-RU"/>
        </w:rPr>
        <w:t>От редакции «Бизнес-Инфо»</w:t>
      </w:r>
      <w:r>
        <w:rPr>
          <w:rFonts w:eastAsia="Times New Roman"/>
          <w:lang w:val="ru-RU"/>
        </w:rPr>
        <w:t xml:space="preserve"> </w:t>
      </w:r>
    </w:p>
    <w:p w:rsidR="00000000" w:rsidRDefault="005B4F2A">
      <w:pPr>
        <w:pStyle w:val="inserttext"/>
        <w:shd w:val="clear" w:color="auto" w:fill="F4F4F4"/>
        <w:divId w:val="341056861"/>
        <w:rPr>
          <w:lang w:val="ru-RU"/>
        </w:rPr>
      </w:pPr>
      <w:r>
        <w:rPr>
          <w:lang w:val="ru-RU"/>
        </w:rPr>
        <w:t xml:space="preserve">Абзац 10 п.1 вступает в силу с 29 октября 2024 г. (см. </w:t>
      </w:r>
      <w:hyperlink w:anchor="a5" w:tooltip="+" w:history="1">
        <w:r>
          <w:rPr>
            <w:rStyle w:val="a3"/>
            <w:lang w:val="ru-RU"/>
          </w:rPr>
          <w:t>п.3</w:t>
        </w:r>
      </w:hyperlink>
      <w:r>
        <w:rPr>
          <w:lang w:val="ru-RU"/>
        </w:rPr>
        <w:t xml:space="preserve"> постановления).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0" w:name="a14"/>
      <w:bookmarkEnd w:id="10"/>
      <w:r>
        <w:rPr>
          <w:lang w:val="ru-RU"/>
        </w:rPr>
        <w:t>после части десятой дополнить пункт частью следующего содержания: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lastRenderedPageBreak/>
        <w:t>«Из сумм расходов по доставке потребительских товаров, в отношении которых организациям потребительской кооперации предоставляются субсидии на возмещение стоимости израсходованного топлива п</w:t>
      </w:r>
      <w:r>
        <w:rPr>
          <w:lang w:val="ru-RU"/>
        </w:rPr>
        <w:t>о доставке товаров автомагазинами и в стационарные торговые объекты потребительской кооперации, расположенные на территории сельской местности**, вычитаются полученные субсидии.</w:t>
      </w:r>
    </w:p>
    <w:p w:rsidR="00000000" w:rsidRDefault="005B4F2A">
      <w:pPr>
        <w:pStyle w:val="snoskiline"/>
        <w:divId w:val="633025697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5B4F2A">
      <w:pPr>
        <w:pStyle w:val="snoski"/>
        <w:spacing w:before="160" w:after="240"/>
        <w:ind w:firstLine="567"/>
        <w:divId w:val="633025697"/>
        <w:rPr>
          <w:lang w:val="ru-RU"/>
        </w:rPr>
      </w:pPr>
      <w:r>
        <w:rPr>
          <w:lang w:val="ru-RU"/>
        </w:rPr>
        <w:t>** Для целей настоящего постановления термин «т</w:t>
      </w:r>
      <w:r>
        <w:rPr>
          <w:lang w:val="ru-RU"/>
        </w:rPr>
        <w:t>ерритория сельской местности» используется в значении, определенном в Указе Президента Республики Беларусь от 22 сентября 2017 г. № 345 «О развитии торговли, общественного питания и бытового обслуживания».»;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в пункте 15: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в части первой: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1" w:name="a15"/>
      <w:bookmarkEnd w:id="11"/>
      <w:r>
        <w:rPr>
          <w:lang w:val="ru-RU"/>
        </w:rPr>
        <w:t>в абзаце втором слово «двенадцатой» заменить словом «тринадцатой»;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2" w:name="a16"/>
      <w:bookmarkEnd w:id="12"/>
      <w:r>
        <w:rPr>
          <w:lang w:val="ru-RU"/>
        </w:rPr>
        <w:t>дополнить часть абзацем следующего содержания: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«платы за оказание услуг по хранению товаров, требующих для сохранения качества и безопасности соблюдения специальных температурных режимов (к</w:t>
      </w:r>
      <w:r>
        <w:rPr>
          <w:lang w:val="ru-RU"/>
        </w:rPr>
        <w:t>роме услуг по хранению товаров в помещениях, в которых расположены торговые объекты субъекта, осуществляющего розничную торговлю).»;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3" w:name="a17"/>
      <w:bookmarkEnd w:id="13"/>
      <w:r>
        <w:rPr>
          <w:lang w:val="ru-RU"/>
        </w:rPr>
        <w:t>дополнить пункт частью следующего содержания: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«Субъектом, осуществляющим розничную торговлю и оказывающим услуги по хранени</w:t>
      </w:r>
      <w:r>
        <w:rPr>
          <w:lang w:val="ru-RU"/>
        </w:rPr>
        <w:t>ю товаров, указанные в абзаце шестом части первой настоящего пункта, устанавливаются единые тарифы на такие услуги при равных условиях для всех поклажедателей.»;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4" w:name="a18"/>
      <w:bookmarkEnd w:id="14"/>
      <w:r>
        <w:rPr>
          <w:lang w:val="ru-RU"/>
        </w:rPr>
        <w:t>в части первой пункта 17: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в абзаце втором слова «по областям» заменить словом «областей»;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из а</w:t>
      </w:r>
      <w:r>
        <w:rPr>
          <w:lang w:val="ru-RU"/>
        </w:rPr>
        <w:t>бзаца третьего слова «, в том числе несоблюдения перечня товаров, обязательных к наличию для реализации в торговом объекте, согласованного в соответствии с пунктом 13 настоящего постановления» исключить;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5" w:name="a19"/>
      <w:bookmarkEnd w:id="15"/>
      <w:r>
        <w:rPr>
          <w:lang w:val="ru-RU"/>
        </w:rPr>
        <w:t>пункт 23 дополнить абзацем следующего содержания: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«и</w:t>
      </w:r>
      <w:r>
        <w:rPr>
          <w:lang w:val="ru-RU"/>
        </w:rPr>
        <w:t>мпортируемых потребительских товаров*.</w:t>
      </w:r>
    </w:p>
    <w:p w:rsidR="00000000" w:rsidRDefault="005B4F2A">
      <w:pPr>
        <w:pStyle w:val="snoskiline"/>
        <w:divId w:val="633025697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5B4F2A">
      <w:pPr>
        <w:pStyle w:val="snoski"/>
        <w:spacing w:before="160" w:after="240"/>
        <w:ind w:firstLine="567"/>
        <w:divId w:val="633025697"/>
        <w:rPr>
          <w:lang w:val="ru-RU"/>
        </w:rPr>
      </w:pPr>
      <w:r>
        <w:rPr>
          <w:lang w:val="ru-RU"/>
        </w:rPr>
        <w:t>* Для целей настоящего постановления под импортируемыми потребительскими товарами понимаются товары торговых марок, включенных Государственным таможенным комитетом в группу 1 торговых ма</w:t>
      </w:r>
      <w:r>
        <w:rPr>
          <w:lang w:val="ru-RU"/>
        </w:rPr>
        <w:t>рок для целей таможенного декларирования.»;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в приложении 1 к этому постановлению: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6" w:name="a20"/>
      <w:bookmarkEnd w:id="16"/>
      <w:r>
        <w:rPr>
          <w:lang w:val="ru-RU"/>
        </w:rPr>
        <w:t>в графах 2 и 3 пункта 59 цифры «25» и «15» заменить цифрами «10»;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7" w:name="a21"/>
      <w:bookmarkEnd w:id="17"/>
      <w:r>
        <w:rPr>
          <w:lang w:val="ru-RU"/>
        </w:rPr>
        <w:t>в графах 2 и 3 пункта 67 цифры «25» заменить цифрами «15»;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8" w:name="a22"/>
      <w:bookmarkEnd w:id="18"/>
      <w:r>
        <w:rPr>
          <w:lang w:val="ru-RU"/>
        </w:rPr>
        <w:t>в графах 2 и 3 пункта 110 цифры «30» заменить циф</w:t>
      </w:r>
      <w:r>
        <w:rPr>
          <w:lang w:val="ru-RU"/>
        </w:rPr>
        <w:t>рами «10»;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19" w:name="a23"/>
      <w:bookmarkEnd w:id="19"/>
      <w:r>
        <w:rPr>
          <w:lang w:val="ru-RU"/>
        </w:rPr>
        <w:t>в графах 2 и 3 пункта 114 цифры «30» и «20» заменить цифрами «10»;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20" w:name="a24"/>
      <w:bookmarkEnd w:id="20"/>
      <w:r>
        <w:rPr>
          <w:lang w:val="ru-RU"/>
        </w:rPr>
        <w:t>в графах 2 и 3 пунктов 138, 163, 167 и 181 цифры «15» заменить цифрой «5»;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21" w:name="a25"/>
      <w:bookmarkEnd w:id="21"/>
      <w:r>
        <w:rPr>
          <w:lang w:val="ru-RU"/>
        </w:rPr>
        <w:t>в графах 2 и 3 пункта 257 цифры «15» заменить цифрами «10»;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22" w:name="a26"/>
      <w:bookmarkEnd w:id="22"/>
      <w:r>
        <w:rPr>
          <w:lang w:val="ru-RU"/>
        </w:rPr>
        <w:t>в графе 3 пункта 307 цифры «40» заменить ци</w:t>
      </w:r>
      <w:r>
        <w:rPr>
          <w:lang w:val="ru-RU"/>
        </w:rPr>
        <w:t>фрами «20»;</w:t>
      </w:r>
    </w:p>
    <w:p w:rsidR="00000000" w:rsidRDefault="005B4F2A">
      <w:pPr>
        <w:pStyle w:val="newncpi"/>
        <w:divId w:val="633025697"/>
        <w:rPr>
          <w:lang w:val="ru-RU"/>
        </w:rPr>
      </w:pPr>
      <w:bookmarkStart w:id="23" w:name="a27"/>
      <w:bookmarkEnd w:id="23"/>
      <w:r>
        <w:rPr>
          <w:lang w:val="ru-RU"/>
        </w:rPr>
        <w:lastRenderedPageBreak/>
        <w:t>дополнить постановление приложениями 1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и 1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(</w:t>
      </w:r>
      <w:hyperlink w:anchor="a1" w:tooltip="+" w:history="1">
        <w:r>
          <w:rPr>
            <w:rStyle w:val="a3"/>
            <w:lang w:val="ru-RU"/>
          </w:rPr>
          <w:t>прилагаются</w:t>
        </w:r>
      </w:hyperlink>
      <w:r>
        <w:rPr>
          <w:lang w:val="ru-RU"/>
        </w:rPr>
        <w:t>).</w:t>
      </w:r>
    </w:p>
    <w:p w:rsidR="00000000" w:rsidRDefault="005B4F2A">
      <w:pPr>
        <w:pStyle w:val="point"/>
        <w:divId w:val="633025697"/>
        <w:rPr>
          <w:lang w:val="ru-RU"/>
        </w:rPr>
      </w:pPr>
      <w:bookmarkStart w:id="24" w:name="a6"/>
      <w:bookmarkEnd w:id="24"/>
      <w:r>
        <w:rPr>
          <w:lang w:val="ru-RU"/>
        </w:rPr>
        <w:t>2. Цены на остатки потребительских товаров, указанных в пунктах </w:t>
      </w:r>
      <w:hyperlink r:id="rId9" w:anchor="a564" w:tooltip="+" w:history="1">
        <w:r>
          <w:rPr>
            <w:rStyle w:val="a3"/>
            <w:lang w:val="ru-RU"/>
          </w:rPr>
          <w:t>59</w:t>
        </w:r>
      </w:hyperlink>
      <w:r>
        <w:rPr>
          <w:lang w:val="ru-RU"/>
        </w:rPr>
        <w:t xml:space="preserve">, </w:t>
      </w:r>
      <w:hyperlink r:id="rId10" w:anchor="a533" w:tooltip="+" w:history="1">
        <w:r>
          <w:rPr>
            <w:rStyle w:val="a3"/>
            <w:lang w:val="ru-RU"/>
          </w:rPr>
          <w:t>67</w:t>
        </w:r>
      </w:hyperlink>
      <w:r>
        <w:rPr>
          <w:lang w:val="ru-RU"/>
        </w:rPr>
        <w:t xml:space="preserve">, </w:t>
      </w:r>
      <w:hyperlink r:id="rId11" w:anchor="a534" w:tooltip="+" w:history="1">
        <w:r>
          <w:rPr>
            <w:rStyle w:val="a3"/>
            <w:lang w:val="ru-RU"/>
          </w:rPr>
          <w:t>110</w:t>
        </w:r>
      </w:hyperlink>
      <w:r>
        <w:rPr>
          <w:lang w:val="ru-RU"/>
        </w:rPr>
        <w:t xml:space="preserve">, </w:t>
      </w:r>
      <w:hyperlink r:id="rId12" w:anchor="a565" w:tooltip="+" w:history="1">
        <w:r>
          <w:rPr>
            <w:rStyle w:val="a3"/>
            <w:lang w:val="ru-RU"/>
          </w:rPr>
          <w:t>114</w:t>
        </w:r>
      </w:hyperlink>
      <w:r>
        <w:rPr>
          <w:lang w:val="ru-RU"/>
        </w:rPr>
        <w:t xml:space="preserve">, </w:t>
      </w:r>
      <w:hyperlink r:id="rId13" w:anchor="a536" w:tooltip="+" w:history="1">
        <w:r>
          <w:rPr>
            <w:rStyle w:val="a3"/>
            <w:lang w:val="ru-RU"/>
          </w:rPr>
          <w:t>138</w:t>
        </w:r>
      </w:hyperlink>
      <w:r>
        <w:rPr>
          <w:lang w:val="ru-RU"/>
        </w:rPr>
        <w:t xml:space="preserve">, </w:t>
      </w:r>
      <w:hyperlink r:id="rId14" w:anchor="a566" w:tooltip="+" w:history="1">
        <w:r>
          <w:rPr>
            <w:rStyle w:val="a3"/>
            <w:lang w:val="ru-RU"/>
          </w:rPr>
          <w:t>163</w:t>
        </w:r>
      </w:hyperlink>
      <w:r>
        <w:rPr>
          <w:lang w:val="ru-RU"/>
        </w:rPr>
        <w:t xml:space="preserve">, </w:t>
      </w:r>
      <w:hyperlink r:id="rId15" w:anchor="a538" w:tooltip="+" w:history="1">
        <w:r>
          <w:rPr>
            <w:rStyle w:val="a3"/>
            <w:lang w:val="ru-RU"/>
          </w:rPr>
          <w:t>167</w:t>
        </w:r>
      </w:hyperlink>
      <w:r>
        <w:rPr>
          <w:lang w:val="ru-RU"/>
        </w:rPr>
        <w:t xml:space="preserve">, </w:t>
      </w:r>
      <w:hyperlink r:id="rId16" w:anchor="a539" w:tooltip="+" w:history="1">
        <w:r>
          <w:rPr>
            <w:rStyle w:val="a3"/>
            <w:lang w:val="ru-RU"/>
          </w:rPr>
          <w:t>181</w:t>
        </w:r>
      </w:hyperlink>
      <w:r>
        <w:rPr>
          <w:lang w:val="ru-RU"/>
        </w:rPr>
        <w:t xml:space="preserve">, </w:t>
      </w:r>
      <w:hyperlink r:id="rId17" w:anchor="a567" w:tooltip="+" w:history="1">
        <w:r>
          <w:rPr>
            <w:rStyle w:val="a3"/>
            <w:lang w:val="ru-RU"/>
          </w:rPr>
          <w:t>257</w:t>
        </w:r>
      </w:hyperlink>
      <w:r>
        <w:rPr>
          <w:lang w:val="ru-RU"/>
        </w:rPr>
        <w:t xml:space="preserve"> и </w:t>
      </w:r>
      <w:hyperlink r:id="rId18" w:anchor="a540" w:tooltip="+" w:history="1">
        <w:r>
          <w:rPr>
            <w:rStyle w:val="a3"/>
            <w:lang w:val="ru-RU"/>
          </w:rPr>
          <w:t>307</w:t>
        </w:r>
      </w:hyperlink>
      <w:r>
        <w:rPr>
          <w:lang w:val="ru-RU"/>
        </w:rPr>
        <w:t xml:space="preserve"> пр</w:t>
      </w:r>
      <w:r>
        <w:rPr>
          <w:lang w:val="ru-RU"/>
        </w:rPr>
        <w:t>иложения 1 к постановлению Совета Министров Республики Беларусь от 19 октября 2022 г. № 713, сложившиеся на 18 октября 2024 г., подлежат приведению в соответствие с настоящим постановлением в следующем порядке: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потребительские товары являются остатками, сл</w:t>
      </w:r>
      <w:r>
        <w:rPr>
          <w:lang w:val="ru-RU"/>
        </w:rPr>
        <w:t>ожившимися на 26 октября 2022 г., и не было нового поступления таких же товаров – в порядке, предусмотренном в </w:t>
      </w:r>
      <w:hyperlink r:id="rId19" w:anchor="a66" w:tooltip="+" w:history="1">
        <w:r>
          <w:rPr>
            <w:rStyle w:val="a3"/>
            <w:lang w:val="ru-RU"/>
          </w:rPr>
          <w:t>пункте 16</w:t>
        </w:r>
      </w:hyperlink>
      <w:r>
        <w:rPr>
          <w:lang w:val="ru-RU"/>
        </w:rPr>
        <w:t xml:space="preserve"> постановления Совета Министров Республики Беларусь от 19 октября 2022 г. № 713;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по</w:t>
      </w:r>
      <w:r>
        <w:rPr>
          <w:lang w:val="ru-RU"/>
        </w:rPr>
        <w:t>требительские товары являются иными остатками – до 25 октября 2024 г.</w:t>
      </w:r>
    </w:p>
    <w:p w:rsidR="00000000" w:rsidRDefault="005B4F2A">
      <w:pPr>
        <w:pStyle w:val="point"/>
        <w:divId w:val="633025697"/>
        <w:rPr>
          <w:lang w:val="ru-RU"/>
        </w:rPr>
      </w:pPr>
      <w:bookmarkStart w:id="25" w:name="a5"/>
      <w:bookmarkEnd w:id="25"/>
      <w:r>
        <w:rPr>
          <w:lang w:val="ru-RU"/>
        </w:rPr>
        <w:t>3. Настоящее постановление вступает в силу в следующем порядке:</w:t>
      </w:r>
    </w:p>
    <w:bookmarkStart w:id="26" w:name="a7"/>
    <w:bookmarkEnd w:id="26"/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</w:instrText>
      </w:r>
      <w:r>
        <w:rPr>
          <w:lang w:val="ru-RU"/>
        </w:rPr>
        <w:instrText>HYPERLINK "" \l "a2" \o "+"</w:instrText>
      </w:r>
      <w:r>
        <w:rPr>
          <w:lang w:val="ru-RU"/>
        </w:rPr>
        <w:instrText xml:space="preserve"> </w:instrText>
      </w:r>
      <w:r>
        <w:rPr>
          <w:lang w:val="ru-RU"/>
        </w:rPr>
        <w:fldChar w:fldCharType="separate"/>
      </w:r>
      <w:r>
        <w:rPr>
          <w:rStyle w:val="a3"/>
          <w:lang w:val="ru-RU"/>
        </w:rPr>
        <w:t>абзац девятый</w:t>
      </w:r>
      <w:r>
        <w:rPr>
          <w:lang w:val="ru-RU"/>
        </w:rPr>
        <w:fldChar w:fldCharType="end"/>
      </w:r>
      <w:r>
        <w:rPr>
          <w:lang w:val="ru-RU"/>
        </w:rPr>
        <w:t xml:space="preserve"> пункта 1 – с 21 октября 2024 г.;</w:t>
      </w:r>
    </w:p>
    <w:p w:rsidR="00000000" w:rsidRDefault="005B4F2A">
      <w:pPr>
        <w:pStyle w:val="newncpi"/>
        <w:divId w:val="633025697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абзац десятый</w:t>
        </w:r>
      </w:hyperlink>
      <w:r>
        <w:rPr>
          <w:lang w:val="ru-RU"/>
        </w:rPr>
        <w:t xml:space="preserve"> пункта 1 – с 29 октября 2024 г.;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иные положения настоящего постановления – с 18 октября 2024 г.</w:t>
      </w:r>
    </w:p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6330256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 Премьер-министра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5B4F2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newncpi0"/>
              <w:jc w:val="right"/>
            </w:pPr>
            <w:r>
              <w:rPr>
                <w:rStyle w:val="pers"/>
              </w:rPr>
              <w:t>Н.Снопков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5B4F2A">
      <w:pPr>
        <w:pStyle w:val="newncpi0"/>
        <w:divId w:val="63302569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rPr>
          <w:divId w:val="633025697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newncpi"/>
            </w:pPr>
            <w:r>
              <w:t> 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append1"/>
            </w:pPr>
            <w:bookmarkStart w:id="27" w:name="a1"/>
            <w:bookmarkEnd w:id="27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000000" w:rsidRDefault="005B4F2A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19.10.2022 № 713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16.10.2024 № 713(5) 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5B4F2A">
      <w:pPr>
        <w:pStyle w:val="titlep"/>
        <w:jc w:val="left"/>
        <w:divId w:val="633025697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потребительских товаров, в том числе реализуемых из стабилизационных фондов, в отношении к</w:t>
      </w:r>
      <w:r>
        <w:rPr>
          <w:lang w:val="ru-RU"/>
        </w:rPr>
        <w:t>оторых установлены предельные максимальные отпускные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78"/>
        <w:gridCol w:w="950"/>
        <w:gridCol w:w="1078"/>
        <w:gridCol w:w="937"/>
        <w:gridCol w:w="1115"/>
        <w:gridCol w:w="937"/>
        <w:gridCol w:w="937"/>
        <w:gridCol w:w="935"/>
      </w:tblGrid>
      <w:tr w:rsidR="00000000">
        <w:trPr>
          <w:divId w:val="633025697"/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Наименование товаров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Предельные максимальные отпускные цены за один килограмм (без налога на добавленную стоимость), рублей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F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октябрь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ноябрь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декабрь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январь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февраль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март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апрель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май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1. Картофель свежий продовольственный, за исключением мытого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0,67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0,66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2. Капуста белокочанная свежая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0,56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0,59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0,93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3. Морковь свежая, за исключением мытой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0,62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0,63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0,92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0,99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4. Свекла свежая столовая, за исключением мытой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0,56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0,61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0,67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0,78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5. Лук репчатый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0,89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6. Яблоки свежие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1,64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1,91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2,05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2,19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2,42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2,66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2,86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7. Огурцы свежие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2,37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4,02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5,4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5,44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5,31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4,78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2,96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rPr>
          <w:divId w:val="633025697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newncpi"/>
            </w:pPr>
            <w:r>
              <w:t> 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2</w:t>
            </w:r>
          </w:p>
          <w:p w:rsidR="00000000" w:rsidRDefault="005B4F2A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19.10.2022 № 713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16.10.2024 № 713(5) 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5B4F2A">
      <w:pPr>
        <w:pStyle w:val="titlep"/>
        <w:jc w:val="left"/>
        <w:divId w:val="633025697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потребительских товаров, в </w:t>
      </w:r>
      <w:r>
        <w:rPr>
          <w:lang w:val="ru-RU"/>
        </w:rPr>
        <w:t>отношении которых установлены предельные максимальные розничные (оптовые)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78"/>
        <w:gridCol w:w="950"/>
        <w:gridCol w:w="1078"/>
        <w:gridCol w:w="937"/>
        <w:gridCol w:w="1115"/>
        <w:gridCol w:w="937"/>
        <w:gridCol w:w="937"/>
        <w:gridCol w:w="935"/>
      </w:tblGrid>
      <w:tr w:rsidR="00000000">
        <w:trPr>
          <w:divId w:val="633025697"/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Наименование товаров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Предельные максимальные розничные (оптовые) цены за один килограмм (с налогом на добавленную стоимость), рублей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4F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октябрь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ноябрь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декабрь 2024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январь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февраль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март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апрель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B4F2A">
            <w:pPr>
              <w:pStyle w:val="table10"/>
              <w:jc w:val="center"/>
            </w:pPr>
            <w:r>
              <w:t>май 2025 г.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1. Картофель свежий продовольственный, за исключением мытого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0,99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2. Капуста белокочанная свежая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0,92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0,97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1,19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1,33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1,37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1,47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lastRenderedPageBreak/>
              <w:t>1,8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lastRenderedPageBreak/>
              <w:t>3. Морковь свежая, за исключением мытой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1,45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1,56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2,08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4. Свекла свежая столовая, за исключением мытой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0,91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1,0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1,92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5. Лук репчатый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1,29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1,35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1,56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1,68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1,84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1,88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2,04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6. Яблоки свежие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2,69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2,79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3,13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3,24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3,47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3,83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4,21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4,53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633025697"/>
          <w:trHeight w:val="240"/>
        </w:trPr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4F2A">
            <w:pPr>
              <w:pStyle w:val="table10"/>
              <w:spacing w:before="120"/>
            </w:pPr>
            <w:r>
              <w:t>7. Огурцы свежие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3,89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6,58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8,85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8,61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8,4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7,28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7,56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4F2A">
            <w:pPr>
              <w:pStyle w:val="table10"/>
              <w:spacing w:before="120"/>
              <w:jc w:val="center"/>
            </w:pPr>
            <w:r>
              <w:t>4,69</w:t>
            </w:r>
          </w:p>
          <w:p w:rsidR="00000000" w:rsidRDefault="005B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5B4F2A" w:rsidRDefault="005B4F2A">
      <w:pPr>
        <w:pStyle w:val="newncpi"/>
        <w:divId w:val="633025697"/>
        <w:rPr>
          <w:lang w:val="ru-RU"/>
        </w:rPr>
      </w:pPr>
      <w:r>
        <w:rPr>
          <w:lang w:val="ru-RU"/>
        </w:rPr>
        <w:t> </w:t>
      </w:r>
    </w:p>
    <w:sectPr w:rsidR="005B4F2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58"/>
    <w:rsid w:val="005B4F2A"/>
    <w:rsid w:val="00880C29"/>
    <w:rsid w:val="00985BCA"/>
    <w:rsid w:val="00B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5892-EE6C-4ABF-8808-40C8C5D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12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861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Kaxanovskaya_IA\Downloads\tx.dll%3fd=614623&amp;a=536" TargetMode="External"/><Relationship Id="rId18" Type="http://schemas.openxmlformats.org/officeDocument/2006/relationships/hyperlink" Target="file:///C:\Users\Kaxanovskaya_IA\Downloads\tx.dll%3fd=614623&amp;a=5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Kaxanovskaya_IA\Downloads\tx.dll%3fd=614623&amp;a=565" TargetMode="External"/><Relationship Id="rId17" Type="http://schemas.openxmlformats.org/officeDocument/2006/relationships/hyperlink" Target="file:///C:\Users\Kaxanovskaya_IA\Downloads\tx.dll%3fd=614623&amp;a=56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axanovskaya_IA\Downloads\tx.dll%3fd=614623&amp;a=5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Kaxanovskaya_IA\Downloads\tx.dll%3fd=614623&amp;a=19" TargetMode="External"/><Relationship Id="rId11" Type="http://schemas.openxmlformats.org/officeDocument/2006/relationships/hyperlink" Target="file:///C:\Users\Kaxanovskaya_IA\Downloads\tx.dll%3fd=614623&amp;a=534" TargetMode="External"/><Relationship Id="rId5" Type="http://schemas.openxmlformats.org/officeDocument/2006/relationships/hyperlink" Target="file:///C:\Users\Kaxanovskaya_IA\Downloads\tx.dll%3fd=637826&amp;a=16" TargetMode="External"/><Relationship Id="rId15" Type="http://schemas.openxmlformats.org/officeDocument/2006/relationships/hyperlink" Target="file:///C:\Users\Kaxanovskaya_IA\Downloads\tx.dll%3fd=614623&amp;a=538" TargetMode="External"/><Relationship Id="rId10" Type="http://schemas.openxmlformats.org/officeDocument/2006/relationships/hyperlink" Target="file:///C:\Users\Kaxanovskaya_IA\Downloads\tx.dll%3fd=614623&amp;a=533" TargetMode="External"/><Relationship Id="rId19" Type="http://schemas.openxmlformats.org/officeDocument/2006/relationships/hyperlink" Target="file:///C:\Users\Kaxanovskaya_IA\Downloads\tx.dll%3fd=614623&amp;a=66" TargetMode="External"/><Relationship Id="rId4" Type="http://schemas.openxmlformats.org/officeDocument/2006/relationships/hyperlink" Target="file:///C:\Users\Kaxanovskaya_IA\Downloads\tx.dll%3fd=614623&amp;a=19" TargetMode="External"/><Relationship Id="rId9" Type="http://schemas.openxmlformats.org/officeDocument/2006/relationships/hyperlink" Target="file:///C:\Users\Kaxanovskaya_IA\Downloads\tx.dll%3fd=614623&amp;a=564" TargetMode="External"/><Relationship Id="rId14" Type="http://schemas.openxmlformats.org/officeDocument/2006/relationships/hyperlink" Target="file:///C:\Users\Kaxanovskaya_IA\Downloads\tx.dll%3fd=614623&amp;a=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Кахановская Ирина Александровна</dc:creator>
  <cp:lastModifiedBy>Кахановская Ирина Александровна</cp:lastModifiedBy>
  <cp:revision>2</cp:revision>
  <dcterms:created xsi:type="dcterms:W3CDTF">2024-11-01T08:08:00Z</dcterms:created>
  <dcterms:modified xsi:type="dcterms:W3CDTF">2024-11-01T08:08:00Z</dcterms:modified>
</cp:coreProperties>
</file>