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F2" w:rsidRDefault="006328F2" w:rsidP="0029202D">
      <w:pPr>
        <w:rPr>
          <w:sz w:val="30"/>
          <w:szCs w:val="30"/>
        </w:rPr>
      </w:pPr>
      <w:r>
        <w:rPr>
          <w:noProof/>
          <w:sz w:val="30"/>
          <w:szCs w:val="30"/>
        </w:rPr>
        <w:drawing>
          <wp:anchor distT="0" distB="0" distL="114300" distR="114300" simplePos="0" relativeHeight="251658240" behindDoc="0" locked="0" layoutInCell="1" allowOverlap="1">
            <wp:simplePos x="0" y="0"/>
            <wp:positionH relativeFrom="margin">
              <wp:align>right</wp:align>
            </wp:positionH>
            <wp:positionV relativeFrom="paragraph">
              <wp:posOffset>13417</wp:posOffset>
            </wp:positionV>
            <wp:extent cx="3303905" cy="1024255"/>
            <wp:effectExtent l="0" t="0" r="0"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905" cy="1024255"/>
                    </a:xfrm>
                    <a:prstGeom prst="rect">
                      <a:avLst/>
                    </a:prstGeom>
                    <a:noFill/>
                  </pic:spPr>
                </pic:pic>
              </a:graphicData>
            </a:graphic>
            <wp14:sizeRelH relativeFrom="page">
              <wp14:pctWidth>0</wp14:pctWidth>
            </wp14:sizeRelH>
            <wp14:sizeRelV relativeFrom="page">
              <wp14:pctHeight>0</wp14:pctHeight>
            </wp14:sizeRelV>
          </wp:anchor>
        </w:drawing>
      </w:r>
    </w:p>
    <w:p w:rsidR="006328F2" w:rsidRDefault="006328F2" w:rsidP="0029202D">
      <w:pPr>
        <w:rPr>
          <w:sz w:val="30"/>
          <w:szCs w:val="30"/>
        </w:rPr>
      </w:pPr>
    </w:p>
    <w:p w:rsidR="006328F2" w:rsidRDefault="006328F2" w:rsidP="0029202D">
      <w:pPr>
        <w:rPr>
          <w:sz w:val="30"/>
          <w:szCs w:val="30"/>
        </w:rPr>
      </w:pPr>
    </w:p>
    <w:p w:rsidR="006328F2" w:rsidRDefault="006328F2" w:rsidP="0029202D">
      <w:pPr>
        <w:rPr>
          <w:sz w:val="30"/>
          <w:szCs w:val="30"/>
        </w:rPr>
      </w:pPr>
    </w:p>
    <w:p w:rsidR="00AB72C3" w:rsidRPr="00481C33" w:rsidRDefault="00AB72C3" w:rsidP="0029202D">
      <w:pPr>
        <w:rPr>
          <w:sz w:val="30"/>
          <w:szCs w:val="30"/>
        </w:rPr>
      </w:pPr>
      <w:r w:rsidRPr="00481C33">
        <w:rPr>
          <w:sz w:val="30"/>
          <w:szCs w:val="30"/>
        </w:rPr>
        <w:t>О сотрудничестве</w:t>
      </w:r>
    </w:p>
    <w:p w:rsidR="00AB72C3" w:rsidRPr="008E4221" w:rsidRDefault="00AB72C3" w:rsidP="0029202D">
      <w:pPr>
        <w:rPr>
          <w:sz w:val="16"/>
          <w:szCs w:val="16"/>
        </w:rPr>
      </w:pPr>
    </w:p>
    <w:p w:rsidR="00AB72C3" w:rsidRPr="00D77A1B" w:rsidRDefault="00AB72C3" w:rsidP="00150346">
      <w:pPr>
        <w:ind w:firstLine="709"/>
        <w:jc w:val="both"/>
        <w:rPr>
          <w:sz w:val="28"/>
          <w:szCs w:val="28"/>
        </w:rPr>
      </w:pPr>
      <w:r w:rsidRPr="00D77A1B">
        <w:rPr>
          <w:sz w:val="28"/>
          <w:szCs w:val="28"/>
        </w:rPr>
        <w:t xml:space="preserve">Для устойчивого развития любой компании приоритетным направлением является выбор надежного и сильного партнера по бизнесу. Немаловажную роль в развитии деятельности компании играет сотрудничество с банком. </w:t>
      </w:r>
    </w:p>
    <w:p w:rsidR="00AB72C3" w:rsidRPr="00D77A1B" w:rsidRDefault="00AB72C3" w:rsidP="00150346">
      <w:pPr>
        <w:ind w:firstLine="709"/>
        <w:jc w:val="both"/>
        <w:rPr>
          <w:sz w:val="28"/>
          <w:szCs w:val="28"/>
        </w:rPr>
      </w:pPr>
      <w:r w:rsidRPr="00D77A1B">
        <w:rPr>
          <w:sz w:val="28"/>
          <w:szCs w:val="28"/>
        </w:rPr>
        <w:t>ОАО «</w:t>
      </w:r>
      <w:proofErr w:type="spellStart"/>
      <w:r w:rsidRPr="00D77A1B">
        <w:rPr>
          <w:sz w:val="28"/>
          <w:szCs w:val="28"/>
        </w:rPr>
        <w:t>Белагропромбанк</w:t>
      </w:r>
      <w:proofErr w:type="spellEnd"/>
      <w:r w:rsidRPr="00D77A1B">
        <w:rPr>
          <w:sz w:val="28"/>
          <w:szCs w:val="28"/>
        </w:rPr>
        <w:t xml:space="preserve">» - один из крупнейших системообразующих банков Республики Беларусь. Благодаря разветвленной филиальной сети по всей стране и налаженным, проверенным десятилетиями партнерским отношениям с белорусскими и иностранными компаниями наши корпоративные клиенты имеют неограниченные возможности по оптимизации затрат на банковское обслуживание. </w:t>
      </w:r>
    </w:p>
    <w:p w:rsidR="00AB72C3" w:rsidRPr="00D77A1B" w:rsidRDefault="00541DB9" w:rsidP="00150346">
      <w:pPr>
        <w:ind w:firstLine="709"/>
        <w:jc w:val="both"/>
        <w:rPr>
          <w:sz w:val="28"/>
          <w:szCs w:val="28"/>
        </w:rPr>
      </w:pPr>
      <w:r>
        <w:rPr>
          <w:sz w:val="28"/>
          <w:szCs w:val="28"/>
        </w:rPr>
        <w:t xml:space="preserve">ЦБУ №620 в </w:t>
      </w:r>
      <w:proofErr w:type="spellStart"/>
      <w:r>
        <w:rPr>
          <w:sz w:val="28"/>
          <w:szCs w:val="28"/>
        </w:rPr>
        <w:t>г.Чаусы</w:t>
      </w:r>
      <w:proofErr w:type="spellEnd"/>
      <w:r>
        <w:rPr>
          <w:sz w:val="28"/>
          <w:szCs w:val="28"/>
        </w:rPr>
        <w:t xml:space="preserve"> РДМ</w:t>
      </w:r>
      <w:r w:rsidR="00AB72C3" w:rsidRPr="00D77A1B">
        <w:rPr>
          <w:sz w:val="28"/>
          <w:szCs w:val="28"/>
        </w:rPr>
        <w:t xml:space="preserve"> </w:t>
      </w:r>
      <w:r>
        <w:rPr>
          <w:sz w:val="28"/>
          <w:szCs w:val="28"/>
        </w:rPr>
        <w:t xml:space="preserve">ОАО </w:t>
      </w:r>
      <w:r w:rsidR="00AB72C3" w:rsidRPr="00D77A1B">
        <w:rPr>
          <w:sz w:val="28"/>
          <w:szCs w:val="28"/>
        </w:rPr>
        <w:t>«</w:t>
      </w:r>
      <w:proofErr w:type="spellStart"/>
      <w:r w:rsidR="00AB72C3" w:rsidRPr="00D77A1B">
        <w:rPr>
          <w:sz w:val="28"/>
          <w:szCs w:val="28"/>
        </w:rPr>
        <w:t>Белагропромбанк</w:t>
      </w:r>
      <w:proofErr w:type="spellEnd"/>
      <w:r w:rsidR="00AB72C3" w:rsidRPr="00D77A1B">
        <w:rPr>
          <w:sz w:val="28"/>
          <w:szCs w:val="28"/>
        </w:rPr>
        <w:t xml:space="preserve">» </w:t>
      </w:r>
      <w:r w:rsidR="007F2BD0" w:rsidRPr="00D77A1B">
        <w:rPr>
          <w:sz w:val="28"/>
          <w:szCs w:val="28"/>
        </w:rPr>
        <w:t>(</w:t>
      </w:r>
      <w:r w:rsidR="00060B7E">
        <w:rPr>
          <w:sz w:val="28"/>
          <w:szCs w:val="28"/>
        </w:rPr>
        <w:t xml:space="preserve">г. </w:t>
      </w:r>
      <w:r>
        <w:rPr>
          <w:sz w:val="28"/>
          <w:szCs w:val="28"/>
        </w:rPr>
        <w:t>Чаусы,</w:t>
      </w:r>
      <w:r w:rsidR="00060B7E">
        <w:rPr>
          <w:sz w:val="28"/>
          <w:szCs w:val="28"/>
        </w:rPr>
        <w:t xml:space="preserve"> </w:t>
      </w:r>
      <w:r>
        <w:rPr>
          <w:sz w:val="28"/>
          <w:szCs w:val="28"/>
        </w:rPr>
        <w:t>ул.</w:t>
      </w:r>
      <w:r w:rsidR="00060B7E">
        <w:rPr>
          <w:sz w:val="28"/>
          <w:szCs w:val="28"/>
        </w:rPr>
        <w:t xml:space="preserve"> </w:t>
      </w:r>
      <w:r>
        <w:rPr>
          <w:sz w:val="28"/>
          <w:szCs w:val="28"/>
        </w:rPr>
        <w:t>Пролетарская</w:t>
      </w:r>
      <w:r w:rsidR="00060B7E">
        <w:rPr>
          <w:sz w:val="28"/>
          <w:szCs w:val="28"/>
        </w:rPr>
        <w:t xml:space="preserve"> </w:t>
      </w:r>
      <w:r>
        <w:rPr>
          <w:sz w:val="28"/>
          <w:szCs w:val="28"/>
        </w:rPr>
        <w:t>1</w:t>
      </w:r>
      <w:r w:rsidR="00060B7E">
        <w:rPr>
          <w:sz w:val="28"/>
          <w:szCs w:val="28"/>
        </w:rPr>
        <w:t>5</w:t>
      </w:r>
      <w:r w:rsidR="007F2BD0" w:rsidRPr="00D77A1B">
        <w:rPr>
          <w:sz w:val="28"/>
          <w:szCs w:val="28"/>
        </w:rPr>
        <w:t xml:space="preserve">) </w:t>
      </w:r>
      <w:r w:rsidR="00AB72C3" w:rsidRPr="00D77A1B">
        <w:rPr>
          <w:sz w:val="28"/>
          <w:szCs w:val="28"/>
        </w:rPr>
        <w:t xml:space="preserve">предлагает взаимовыгодное сотрудничество по комплексному банковскому обслуживанию </w:t>
      </w:r>
      <w:r w:rsidR="00AB72C3" w:rsidRPr="00D77A1B">
        <w:rPr>
          <w:b/>
          <w:sz w:val="28"/>
          <w:szCs w:val="28"/>
        </w:rPr>
        <w:t>на следующих индивидуальных условиях</w:t>
      </w:r>
      <w:r w:rsidR="00AB72C3" w:rsidRPr="00D77A1B">
        <w:rPr>
          <w:sz w:val="28"/>
          <w:szCs w:val="28"/>
        </w:rPr>
        <w:t>:</w:t>
      </w:r>
    </w:p>
    <w:p w:rsidR="00900706" w:rsidRPr="00D77A1B" w:rsidRDefault="00900706" w:rsidP="007F2BD0">
      <w:pPr>
        <w:pStyle w:val="Default"/>
        <w:jc w:val="both"/>
        <w:rPr>
          <w:sz w:val="28"/>
          <w:szCs w:val="28"/>
        </w:rPr>
      </w:pPr>
      <w:r w:rsidRPr="00D77A1B">
        <w:rPr>
          <w:b/>
          <w:sz w:val="28"/>
          <w:szCs w:val="28"/>
        </w:rPr>
        <w:t xml:space="preserve"> </w:t>
      </w:r>
      <w:r w:rsidR="006D0F57" w:rsidRPr="00D77A1B">
        <w:rPr>
          <w:b/>
          <w:sz w:val="28"/>
          <w:szCs w:val="28"/>
        </w:rPr>
        <w:t xml:space="preserve"> </w:t>
      </w:r>
      <w:r w:rsidRPr="00D77A1B">
        <w:rPr>
          <w:b/>
          <w:sz w:val="28"/>
          <w:szCs w:val="28"/>
        </w:rPr>
        <w:t xml:space="preserve"> 1. Расчетно-кассовое обслуживание (</w:t>
      </w:r>
      <w:r w:rsidR="007F2BD0" w:rsidRPr="00D77A1B">
        <w:rPr>
          <w:bCs/>
          <w:sz w:val="28"/>
          <w:szCs w:val="28"/>
        </w:rPr>
        <w:t>Первые шесть месяцев</w:t>
      </w:r>
      <w:r w:rsidR="008B179D" w:rsidRPr="00D77A1B">
        <w:rPr>
          <w:bCs/>
          <w:sz w:val="28"/>
          <w:szCs w:val="28"/>
        </w:rPr>
        <w:t>)</w:t>
      </w:r>
      <w:r w:rsidR="007F2BD0" w:rsidRPr="00D77A1B">
        <w:rPr>
          <w:bCs/>
          <w:sz w:val="28"/>
          <w:szCs w:val="28"/>
        </w:rPr>
        <w:t xml:space="preserve"> новые </w:t>
      </w:r>
      <w:r w:rsidRPr="00D77A1B">
        <w:rPr>
          <w:bCs/>
          <w:sz w:val="28"/>
          <w:szCs w:val="28"/>
        </w:rPr>
        <w:t xml:space="preserve">клиенты обслуживаются в рамках </w:t>
      </w:r>
      <w:r w:rsidRPr="00D77A1B">
        <w:rPr>
          <w:b/>
          <w:bCs/>
          <w:sz w:val="28"/>
          <w:szCs w:val="28"/>
        </w:rPr>
        <w:t>пакета «Дебютный»</w:t>
      </w:r>
      <w:r w:rsidR="007F2BD0" w:rsidRPr="00D77A1B">
        <w:rPr>
          <w:bCs/>
          <w:sz w:val="28"/>
          <w:szCs w:val="28"/>
        </w:rPr>
        <w:t xml:space="preserve">. В пакет </w:t>
      </w:r>
      <w:r w:rsidRPr="00D77A1B">
        <w:rPr>
          <w:bCs/>
          <w:sz w:val="28"/>
          <w:szCs w:val="28"/>
        </w:rPr>
        <w:t>«Дебютный» при установленной фиксированной абонентской плате</w:t>
      </w:r>
      <w:r w:rsidRPr="00D77A1B">
        <w:rPr>
          <w:b/>
          <w:bCs/>
          <w:sz w:val="28"/>
          <w:szCs w:val="28"/>
        </w:rPr>
        <w:t xml:space="preserve"> (5 белорусских рублей в месяц</w:t>
      </w:r>
      <w:r w:rsidR="00060B7E">
        <w:rPr>
          <w:b/>
          <w:bCs/>
          <w:sz w:val="28"/>
          <w:szCs w:val="28"/>
        </w:rPr>
        <w:t xml:space="preserve"> или 1 рубль</w:t>
      </w:r>
      <w:r w:rsidRPr="00D77A1B">
        <w:rPr>
          <w:b/>
          <w:bCs/>
          <w:sz w:val="28"/>
          <w:szCs w:val="28"/>
        </w:rPr>
        <w:t>)</w:t>
      </w:r>
      <w:r w:rsidRPr="00D77A1B">
        <w:rPr>
          <w:bCs/>
          <w:sz w:val="28"/>
          <w:szCs w:val="28"/>
        </w:rPr>
        <w:t xml:space="preserve"> включены следующие операции:</w:t>
      </w:r>
    </w:p>
    <w:p w:rsidR="00900706" w:rsidRPr="00D77A1B" w:rsidRDefault="00900706" w:rsidP="00900706">
      <w:pPr>
        <w:ind w:firstLine="709"/>
        <w:jc w:val="both"/>
        <w:rPr>
          <w:bCs/>
          <w:sz w:val="28"/>
          <w:szCs w:val="28"/>
        </w:rPr>
      </w:pPr>
      <w:r w:rsidRPr="00D77A1B">
        <w:rPr>
          <w:bCs/>
          <w:sz w:val="28"/>
          <w:szCs w:val="28"/>
        </w:rPr>
        <w:t>- дистанционное банковское обслуживание посредством подсистемы «Интернет-клиент»;</w:t>
      </w:r>
    </w:p>
    <w:p w:rsidR="00900706" w:rsidRPr="00D77A1B" w:rsidRDefault="00900706" w:rsidP="00900706">
      <w:pPr>
        <w:ind w:firstLine="709"/>
        <w:jc w:val="both"/>
        <w:rPr>
          <w:bCs/>
          <w:sz w:val="28"/>
          <w:szCs w:val="28"/>
        </w:rPr>
      </w:pPr>
      <w:r w:rsidRPr="00D77A1B">
        <w:rPr>
          <w:bCs/>
          <w:sz w:val="28"/>
          <w:szCs w:val="28"/>
        </w:rPr>
        <w:t xml:space="preserve">- </w:t>
      </w:r>
      <w:r w:rsidRPr="00D77A1B">
        <w:rPr>
          <w:bCs/>
          <w:sz w:val="28"/>
          <w:szCs w:val="28"/>
          <w:u w:val="single"/>
        </w:rPr>
        <w:t>неограниченное количество</w:t>
      </w:r>
      <w:r w:rsidRPr="00D77A1B">
        <w:rPr>
          <w:bCs/>
          <w:sz w:val="28"/>
          <w:szCs w:val="28"/>
        </w:rPr>
        <w:t xml:space="preserve"> переводов в белорусских рублях на основании платежных инструкций в электронном виде;</w:t>
      </w:r>
    </w:p>
    <w:p w:rsidR="00900706" w:rsidRPr="00D77A1B" w:rsidRDefault="00900706" w:rsidP="00900706">
      <w:pPr>
        <w:ind w:firstLine="709"/>
        <w:jc w:val="both"/>
        <w:rPr>
          <w:bCs/>
          <w:sz w:val="28"/>
          <w:szCs w:val="28"/>
        </w:rPr>
      </w:pPr>
      <w:r w:rsidRPr="00D77A1B">
        <w:rPr>
          <w:bCs/>
          <w:sz w:val="28"/>
          <w:szCs w:val="28"/>
        </w:rPr>
        <w:t>- приём наличных денежных средств в белорусских рублях через кассу банка без взимания платы;</w:t>
      </w:r>
      <w:r w:rsidR="00D161AC" w:rsidRPr="00D77A1B">
        <w:rPr>
          <w:bCs/>
          <w:sz w:val="28"/>
          <w:szCs w:val="28"/>
        </w:rPr>
        <w:t>)</w:t>
      </w:r>
    </w:p>
    <w:p w:rsidR="00B57852" w:rsidRPr="00D77A1B" w:rsidRDefault="00B57852" w:rsidP="00900706">
      <w:pPr>
        <w:ind w:firstLine="709"/>
        <w:jc w:val="both"/>
        <w:rPr>
          <w:b/>
          <w:sz w:val="28"/>
          <w:szCs w:val="28"/>
        </w:rPr>
      </w:pPr>
    </w:p>
    <w:p w:rsidR="00AB72C3" w:rsidRPr="00D77A1B" w:rsidRDefault="00900706" w:rsidP="00900706">
      <w:pPr>
        <w:ind w:firstLine="709"/>
        <w:jc w:val="both"/>
        <w:rPr>
          <w:sz w:val="28"/>
          <w:szCs w:val="28"/>
        </w:rPr>
      </w:pPr>
      <w:r w:rsidRPr="00D77A1B">
        <w:rPr>
          <w:b/>
          <w:sz w:val="28"/>
          <w:szCs w:val="28"/>
        </w:rPr>
        <w:t>2</w:t>
      </w:r>
      <w:r w:rsidR="00AB72C3" w:rsidRPr="00D77A1B">
        <w:rPr>
          <w:b/>
          <w:sz w:val="28"/>
          <w:szCs w:val="28"/>
        </w:rPr>
        <w:t>.</w:t>
      </w:r>
      <w:r w:rsidR="006D0F57" w:rsidRPr="00D77A1B">
        <w:rPr>
          <w:sz w:val="28"/>
          <w:szCs w:val="28"/>
        </w:rPr>
        <w:t xml:space="preserve"> </w:t>
      </w:r>
      <w:r w:rsidR="00AB72C3" w:rsidRPr="00D77A1B">
        <w:rPr>
          <w:b/>
          <w:sz w:val="28"/>
          <w:szCs w:val="28"/>
        </w:rPr>
        <w:t>Зарплатное обслуживание</w:t>
      </w:r>
      <w:r w:rsidR="00AB72C3" w:rsidRPr="00D77A1B">
        <w:rPr>
          <w:sz w:val="28"/>
          <w:szCs w:val="28"/>
        </w:rPr>
        <w:t xml:space="preserve"> возможно организовать на следующих условиях:</w:t>
      </w:r>
    </w:p>
    <w:p w:rsidR="00AB72C3" w:rsidRPr="00D77A1B" w:rsidRDefault="00AB72C3" w:rsidP="00900706">
      <w:pPr>
        <w:autoSpaceDE w:val="0"/>
        <w:autoSpaceDN w:val="0"/>
        <w:adjustRightInd w:val="0"/>
        <w:ind w:firstLine="709"/>
        <w:jc w:val="both"/>
        <w:rPr>
          <w:sz w:val="28"/>
          <w:szCs w:val="28"/>
        </w:rPr>
      </w:pPr>
      <w:r w:rsidRPr="00D77A1B">
        <w:rPr>
          <w:sz w:val="28"/>
          <w:szCs w:val="28"/>
        </w:rPr>
        <w:t xml:space="preserve">- плата за зачисление и выплату заработной платы и иных выплат на карт-счета работников устанавливается в размере </w:t>
      </w:r>
      <w:r w:rsidR="00060B7E">
        <w:rPr>
          <w:sz w:val="28"/>
          <w:szCs w:val="28"/>
        </w:rPr>
        <w:t xml:space="preserve">от </w:t>
      </w:r>
      <w:r w:rsidR="006F45E0">
        <w:rPr>
          <w:b/>
          <w:sz w:val="28"/>
          <w:szCs w:val="28"/>
        </w:rPr>
        <w:t>0,5</w:t>
      </w:r>
      <w:r w:rsidRPr="00D77A1B">
        <w:rPr>
          <w:b/>
          <w:sz w:val="28"/>
          <w:szCs w:val="28"/>
        </w:rPr>
        <w:t>%</w:t>
      </w:r>
      <w:r w:rsidRPr="00D77A1B">
        <w:rPr>
          <w:sz w:val="28"/>
          <w:szCs w:val="28"/>
        </w:rPr>
        <w:t xml:space="preserve"> от суммы зачисления;</w:t>
      </w:r>
      <w:r w:rsidR="00900706" w:rsidRPr="00D77A1B">
        <w:rPr>
          <w:sz w:val="28"/>
          <w:szCs w:val="28"/>
        </w:rPr>
        <w:t xml:space="preserve"> </w:t>
      </w:r>
    </w:p>
    <w:p w:rsidR="002718B2" w:rsidRPr="00D77A1B" w:rsidRDefault="002718B2" w:rsidP="002718B2">
      <w:pPr>
        <w:ind w:firstLine="709"/>
        <w:jc w:val="both"/>
        <w:rPr>
          <w:sz w:val="28"/>
          <w:szCs w:val="28"/>
        </w:rPr>
      </w:pPr>
      <w:r w:rsidRPr="00D77A1B">
        <w:rPr>
          <w:sz w:val="28"/>
          <w:szCs w:val="28"/>
        </w:rPr>
        <w:t>- организовать работу промоутера по разъяснению всех вопросов по обслуживанию и возможностям БПК для сотрудников</w:t>
      </w:r>
      <w:r w:rsidR="005B1ADE">
        <w:rPr>
          <w:sz w:val="28"/>
          <w:szCs w:val="28"/>
        </w:rPr>
        <w:t>;</w:t>
      </w:r>
    </w:p>
    <w:p w:rsidR="002718B2" w:rsidRPr="00D77A1B" w:rsidRDefault="002718B2" w:rsidP="002718B2">
      <w:pPr>
        <w:ind w:firstLine="709"/>
        <w:jc w:val="both"/>
        <w:rPr>
          <w:sz w:val="28"/>
          <w:szCs w:val="28"/>
        </w:rPr>
      </w:pPr>
      <w:r w:rsidRPr="00D77A1B">
        <w:rPr>
          <w:sz w:val="28"/>
          <w:szCs w:val="28"/>
        </w:rPr>
        <w:t xml:space="preserve">- сбор документов на выпуск карт и последующая выдача БПК может осуществляться на территории организации (сотрудникам нет необходимости ехать в банк); </w:t>
      </w:r>
    </w:p>
    <w:p w:rsidR="002718B2" w:rsidRPr="00D77A1B" w:rsidRDefault="002718B2" w:rsidP="002718B2">
      <w:pPr>
        <w:autoSpaceDE w:val="0"/>
        <w:autoSpaceDN w:val="0"/>
        <w:adjustRightInd w:val="0"/>
        <w:ind w:firstLine="709"/>
        <w:jc w:val="both"/>
        <w:rPr>
          <w:sz w:val="28"/>
          <w:szCs w:val="28"/>
        </w:rPr>
      </w:pPr>
      <w:r w:rsidRPr="00D77A1B">
        <w:rPr>
          <w:sz w:val="28"/>
          <w:szCs w:val="28"/>
        </w:rPr>
        <w:t xml:space="preserve">- предоставление </w:t>
      </w:r>
      <w:proofErr w:type="spellStart"/>
      <w:r w:rsidRPr="00D77A1B">
        <w:rPr>
          <w:sz w:val="28"/>
          <w:szCs w:val="28"/>
        </w:rPr>
        <w:t>овердрафтного</w:t>
      </w:r>
      <w:proofErr w:type="spellEnd"/>
      <w:r w:rsidRPr="00D77A1B">
        <w:rPr>
          <w:sz w:val="28"/>
          <w:szCs w:val="28"/>
        </w:rPr>
        <w:t xml:space="preserve"> кредита к зарплатному текущему (расчетному) счету, к которому выпускаются БПК на индивидуальных условиях;</w:t>
      </w:r>
    </w:p>
    <w:p w:rsidR="002718B2" w:rsidRPr="00D77A1B" w:rsidRDefault="002718B2" w:rsidP="002718B2">
      <w:pPr>
        <w:autoSpaceDE w:val="0"/>
        <w:autoSpaceDN w:val="0"/>
        <w:adjustRightInd w:val="0"/>
        <w:ind w:firstLine="709"/>
        <w:jc w:val="both"/>
        <w:rPr>
          <w:sz w:val="28"/>
          <w:szCs w:val="28"/>
        </w:rPr>
      </w:pPr>
      <w:r w:rsidRPr="00D77A1B">
        <w:rPr>
          <w:sz w:val="28"/>
          <w:szCs w:val="28"/>
        </w:rPr>
        <w:lastRenderedPageBreak/>
        <w:t>- бесплатное получение наличных денежных средств не только через сеть филиалов (отделений) и посредством банкоматов ОАО «</w:t>
      </w:r>
      <w:proofErr w:type="spellStart"/>
      <w:r w:rsidRPr="00D77A1B">
        <w:rPr>
          <w:sz w:val="28"/>
          <w:szCs w:val="28"/>
        </w:rPr>
        <w:t>Белагропромбанк</w:t>
      </w:r>
      <w:proofErr w:type="spellEnd"/>
      <w:r w:rsidRPr="00D77A1B">
        <w:rPr>
          <w:sz w:val="28"/>
          <w:szCs w:val="28"/>
        </w:rPr>
        <w:t>», но и в банкоматах банков-партнеров: ОАО «</w:t>
      </w:r>
      <w:proofErr w:type="spellStart"/>
      <w:r w:rsidRPr="00D77A1B">
        <w:rPr>
          <w:sz w:val="28"/>
          <w:szCs w:val="28"/>
        </w:rPr>
        <w:t>Белинвестбанк</w:t>
      </w:r>
      <w:proofErr w:type="spellEnd"/>
      <w:r w:rsidRPr="00D77A1B">
        <w:rPr>
          <w:sz w:val="28"/>
          <w:szCs w:val="28"/>
        </w:rPr>
        <w:t xml:space="preserve">», ОАО «АСБ </w:t>
      </w:r>
      <w:proofErr w:type="spellStart"/>
      <w:r w:rsidRPr="00D77A1B">
        <w:rPr>
          <w:sz w:val="28"/>
          <w:szCs w:val="28"/>
        </w:rPr>
        <w:t>Беларусбанк</w:t>
      </w:r>
      <w:proofErr w:type="spellEnd"/>
      <w:r w:rsidRPr="00D77A1B">
        <w:rPr>
          <w:sz w:val="28"/>
          <w:szCs w:val="28"/>
        </w:rPr>
        <w:t>», ОАО «</w:t>
      </w:r>
      <w:proofErr w:type="spellStart"/>
      <w:r w:rsidRPr="00D77A1B">
        <w:rPr>
          <w:sz w:val="28"/>
          <w:szCs w:val="28"/>
        </w:rPr>
        <w:t>Белгазпромбанк</w:t>
      </w:r>
      <w:proofErr w:type="spellEnd"/>
      <w:r w:rsidRPr="00D77A1B">
        <w:rPr>
          <w:sz w:val="28"/>
          <w:szCs w:val="28"/>
        </w:rPr>
        <w:t>» (80% сети банкоматов РБ).</w:t>
      </w:r>
    </w:p>
    <w:p w:rsidR="002718B2" w:rsidRPr="00D77A1B" w:rsidRDefault="002718B2" w:rsidP="002718B2">
      <w:pPr>
        <w:autoSpaceDE w:val="0"/>
        <w:autoSpaceDN w:val="0"/>
        <w:adjustRightInd w:val="0"/>
        <w:ind w:firstLine="708"/>
        <w:jc w:val="both"/>
        <w:rPr>
          <w:sz w:val="28"/>
          <w:szCs w:val="28"/>
        </w:rPr>
      </w:pPr>
      <w:r w:rsidRPr="00D77A1B">
        <w:rPr>
          <w:sz w:val="28"/>
          <w:szCs w:val="28"/>
        </w:rPr>
        <w:t>- бесплатное подключение и обслуживание услуги «Интернет-банкинг» и «</w:t>
      </w:r>
      <w:r w:rsidRPr="00D77A1B">
        <w:rPr>
          <w:sz w:val="28"/>
          <w:szCs w:val="28"/>
          <w:lang w:val="en-US"/>
        </w:rPr>
        <w:t>SMS</w:t>
      </w:r>
      <w:r w:rsidRPr="00D77A1B">
        <w:rPr>
          <w:sz w:val="28"/>
          <w:szCs w:val="28"/>
        </w:rPr>
        <w:t xml:space="preserve"> – банкинг»;</w:t>
      </w:r>
    </w:p>
    <w:p w:rsidR="00D161AC" w:rsidRPr="00D77A1B" w:rsidRDefault="007F2BD0" w:rsidP="002718B2">
      <w:pPr>
        <w:autoSpaceDE w:val="0"/>
        <w:autoSpaceDN w:val="0"/>
        <w:adjustRightInd w:val="0"/>
        <w:ind w:firstLine="708"/>
        <w:jc w:val="both"/>
        <w:rPr>
          <w:sz w:val="28"/>
          <w:szCs w:val="28"/>
        </w:rPr>
      </w:pPr>
      <w:r w:rsidRPr="00D77A1B">
        <w:rPr>
          <w:b/>
          <w:sz w:val="28"/>
          <w:szCs w:val="28"/>
          <w:u w:val="single"/>
        </w:rPr>
        <w:t>Возможно установление индивидуальных условий по согласованию сторон</w:t>
      </w:r>
      <w:r w:rsidR="005F0156" w:rsidRPr="00D77A1B">
        <w:rPr>
          <w:sz w:val="28"/>
          <w:szCs w:val="28"/>
        </w:rPr>
        <w:t xml:space="preserve"> (в зависимости от суммы зачислений и численности).</w:t>
      </w:r>
    </w:p>
    <w:p w:rsidR="00D77A1B" w:rsidRPr="00D77A1B" w:rsidRDefault="006D0F57" w:rsidP="008E4221">
      <w:pPr>
        <w:autoSpaceDE w:val="0"/>
        <w:autoSpaceDN w:val="0"/>
        <w:adjustRightInd w:val="0"/>
        <w:spacing w:line="240" w:lineRule="atLeast"/>
        <w:ind w:firstLine="709"/>
        <w:jc w:val="both"/>
        <w:rPr>
          <w:sz w:val="28"/>
          <w:szCs w:val="28"/>
        </w:rPr>
      </w:pPr>
      <w:r w:rsidRPr="00D77A1B">
        <w:rPr>
          <w:b/>
          <w:sz w:val="28"/>
          <w:szCs w:val="28"/>
        </w:rPr>
        <w:t>3</w:t>
      </w:r>
      <w:r w:rsidR="00223348" w:rsidRPr="00D77A1B">
        <w:rPr>
          <w:b/>
          <w:sz w:val="28"/>
          <w:szCs w:val="28"/>
        </w:rPr>
        <w:t>.</w:t>
      </w:r>
      <w:r w:rsidRPr="00D77A1B">
        <w:rPr>
          <w:sz w:val="28"/>
          <w:szCs w:val="28"/>
        </w:rPr>
        <w:t xml:space="preserve"> </w:t>
      </w:r>
      <w:r w:rsidR="00DE123A" w:rsidRPr="00D77A1B">
        <w:rPr>
          <w:b/>
          <w:sz w:val="28"/>
          <w:szCs w:val="28"/>
        </w:rPr>
        <w:t>Совершение валютно-обменных операций</w:t>
      </w:r>
      <w:r w:rsidR="00DE123A" w:rsidRPr="00D77A1B">
        <w:rPr>
          <w:sz w:val="28"/>
          <w:szCs w:val="28"/>
        </w:rPr>
        <w:t xml:space="preserve"> по взаимовыгодному курсу по любым объемам сделок.</w:t>
      </w:r>
      <w:r w:rsidR="00A43D04" w:rsidRPr="00D77A1B">
        <w:rPr>
          <w:sz w:val="28"/>
          <w:szCs w:val="28"/>
        </w:rPr>
        <w:t xml:space="preserve"> </w:t>
      </w:r>
    </w:p>
    <w:p w:rsidR="00B57852" w:rsidRPr="00D77A1B" w:rsidRDefault="00A43D04" w:rsidP="008E4221">
      <w:pPr>
        <w:autoSpaceDE w:val="0"/>
        <w:autoSpaceDN w:val="0"/>
        <w:adjustRightInd w:val="0"/>
        <w:spacing w:line="240" w:lineRule="atLeast"/>
        <w:ind w:firstLine="709"/>
        <w:jc w:val="both"/>
        <w:rPr>
          <w:sz w:val="28"/>
          <w:szCs w:val="28"/>
        </w:rPr>
      </w:pPr>
      <w:r w:rsidRPr="00D77A1B">
        <w:rPr>
          <w:sz w:val="28"/>
          <w:szCs w:val="28"/>
          <w:lang w:val="en-US"/>
        </w:rPr>
        <w:t>C</w:t>
      </w:r>
      <w:r w:rsidRPr="00D77A1B">
        <w:rPr>
          <w:sz w:val="28"/>
          <w:szCs w:val="28"/>
        </w:rPr>
        <w:t xml:space="preserve"> 01</w:t>
      </w:r>
      <w:r w:rsidR="00D77A1B" w:rsidRPr="00D77A1B">
        <w:rPr>
          <w:sz w:val="28"/>
          <w:szCs w:val="28"/>
        </w:rPr>
        <w:t>.02</w:t>
      </w:r>
      <w:r w:rsidRPr="00D77A1B">
        <w:rPr>
          <w:sz w:val="28"/>
          <w:szCs w:val="28"/>
        </w:rPr>
        <w:t>.2019</w:t>
      </w:r>
      <w:r w:rsidR="00D77A1B" w:rsidRPr="00D77A1B">
        <w:rPr>
          <w:sz w:val="28"/>
          <w:szCs w:val="28"/>
        </w:rPr>
        <w:t xml:space="preserve"> переводы в иностранной валюте:</w:t>
      </w:r>
    </w:p>
    <w:p w:rsidR="00D77A1B" w:rsidRPr="00D77A1B" w:rsidRDefault="00D77A1B" w:rsidP="00D77A1B">
      <w:pPr>
        <w:autoSpaceDE w:val="0"/>
        <w:autoSpaceDN w:val="0"/>
        <w:adjustRightInd w:val="0"/>
        <w:spacing w:line="240" w:lineRule="atLeast"/>
        <w:jc w:val="both"/>
        <w:rPr>
          <w:sz w:val="28"/>
          <w:szCs w:val="28"/>
        </w:rPr>
      </w:pPr>
      <w:r w:rsidRPr="00D77A1B">
        <w:rPr>
          <w:sz w:val="28"/>
          <w:szCs w:val="28"/>
        </w:rPr>
        <w:t>- в российских рублях  - 7 долларов США</w:t>
      </w:r>
    </w:p>
    <w:p w:rsidR="00D77A1B" w:rsidRPr="00D77A1B" w:rsidRDefault="00D77A1B" w:rsidP="00D77A1B">
      <w:pPr>
        <w:jc w:val="both"/>
        <w:rPr>
          <w:sz w:val="28"/>
          <w:szCs w:val="28"/>
        </w:rPr>
      </w:pPr>
      <w:r w:rsidRPr="00D77A1B">
        <w:rPr>
          <w:sz w:val="28"/>
          <w:szCs w:val="28"/>
        </w:rPr>
        <w:t>- в долларах США, евро и других иностранных валютах - 25 долларов США</w:t>
      </w:r>
    </w:p>
    <w:p w:rsidR="00B13EDC" w:rsidRPr="00D77A1B" w:rsidRDefault="006D0F57" w:rsidP="008E4221">
      <w:pPr>
        <w:autoSpaceDE w:val="0"/>
        <w:autoSpaceDN w:val="0"/>
        <w:adjustRightInd w:val="0"/>
        <w:spacing w:line="240" w:lineRule="atLeast"/>
        <w:ind w:firstLine="709"/>
        <w:jc w:val="both"/>
        <w:rPr>
          <w:sz w:val="28"/>
          <w:szCs w:val="28"/>
        </w:rPr>
      </w:pPr>
      <w:r w:rsidRPr="00D77A1B">
        <w:rPr>
          <w:b/>
          <w:sz w:val="28"/>
          <w:szCs w:val="28"/>
        </w:rPr>
        <w:t>4</w:t>
      </w:r>
      <w:r w:rsidR="00223348" w:rsidRPr="00D77A1B">
        <w:rPr>
          <w:b/>
          <w:sz w:val="28"/>
          <w:szCs w:val="28"/>
        </w:rPr>
        <w:t>.</w:t>
      </w:r>
      <w:r w:rsidR="00B740D2" w:rsidRPr="00D77A1B">
        <w:rPr>
          <w:sz w:val="28"/>
          <w:szCs w:val="28"/>
        </w:rPr>
        <w:t xml:space="preserve"> </w:t>
      </w:r>
      <w:r w:rsidR="00B45344" w:rsidRPr="00D77A1B">
        <w:rPr>
          <w:b/>
          <w:sz w:val="28"/>
          <w:szCs w:val="28"/>
        </w:rPr>
        <w:t>Размещение свободных денежных средств в</w:t>
      </w:r>
      <w:r w:rsidR="00806FFB" w:rsidRPr="00806FFB">
        <w:rPr>
          <w:b/>
          <w:sz w:val="28"/>
          <w:szCs w:val="28"/>
        </w:rPr>
        <w:t xml:space="preserve"> </w:t>
      </w:r>
      <w:proofErr w:type="gramStart"/>
      <w:r w:rsidR="00B45344" w:rsidRPr="00D77A1B">
        <w:rPr>
          <w:b/>
          <w:sz w:val="28"/>
          <w:szCs w:val="28"/>
        </w:rPr>
        <w:t>облигации</w:t>
      </w:r>
      <w:proofErr w:type="gramEnd"/>
      <w:r w:rsidR="006236EC" w:rsidRPr="00D77A1B">
        <w:rPr>
          <w:sz w:val="28"/>
          <w:szCs w:val="28"/>
        </w:rPr>
        <w:t xml:space="preserve"> </w:t>
      </w:r>
      <w:r w:rsidR="001610E6">
        <w:rPr>
          <w:sz w:val="28"/>
          <w:szCs w:val="28"/>
        </w:rPr>
        <w:t>эмитированные ОАО «</w:t>
      </w:r>
      <w:proofErr w:type="spellStart"/>
      <w:r w:rsidR="001610E6">
        <w:rPr>
          <w:sz w:val="28"/>
          <w:szCs w:val="28"/>
        </w:rPr>
        <w:t>Бел</w:t>
      </w:r>
      <w:r w:rsidR="00B45344" w:rsidRPr="00D77A1B">
        <w:rPr>
          <w:sz w:val="28"/>
          <w:szCs w:val="28"/>
        </w:rPr>
        <w:t>а</w:t>
      </w:r>
      <w:r w:rsidR="001610E6">
        <w:rPr>
          <w:sz w:val="28"/>
          <w:szCs w:val="28"/>
        </w:rPr>
        <w:t>г</w:t>
      </w:r>
      <w:bookmarkStart w:id="0" w:name="_GoBack"/>
      <w:bookmarkEnd w:id="0"/>
      <w:r w:rsidR="00B45344" w:rsidRPr="00D77A1B">
        <w:rPr>
          <w:sz w:val="28"/>
          <w:szCs w:val="28"/>
        </w:rPr>
        <w:t>ропромбанк</w:t>
      </w:r>
      <w:proofErr w:type="spellEnd"/>
      <w:r w:rsidR="00B45344" w:rsidRPr="00D77A1B">
        <w:rPr>
          <w:sz w:val="28"/>
          <w:szCs w:val="28"/>
        </w:rPr>
        <w:t>»</w:t>
      </w:r>
      <w:r w:rsidR="006236EC" w:rsidRPr="00D77A1B">
        <w:rPr>
          <w:sz w:val="28"/>
          <w:szCs w:val="28"/>
        </w:rPr>
        <w:t xml:space="preserve"> </w:t>
      </w:r>
      <w:r w:rsidR="00514598" w:rsidRPr="00D77A1B">
        <w:rPr>
          <w:sz w:val="28"/>
          <w:szCs w:val="28"/>
        </w:rPr>
        <w:t>и/</w:t>
      </w:r>
      <w:r w:rsidR="006236EC" w:rsidRPr="00D77A1B">
        <w:rPr>
          <w:sz w:val="28"/>
          <w:szCs w:val="28"/>
        </w:rPr>
        <w:t>или вклады (депозиты) в белорусских рублях, долларах США, евро и российских рублях.</w:t>
      </w:r>
    </w:p>
    <w:p w:rsidR="004C7E51" w:rsidRDefault="006D0F57" w:rsidP="004C7E51">
      <w:pPr>
        <w:spacing w:line="360" w:lineRule="exact"/>
        <w:ind w:right="96" w:firstLine="709"/>
        <w:jc w:val="both"/>
        <w:rPr>
          <w:b/>
          <w:sz w:val="28"/>
          <w:szCs w:val="28"/>
        </w:rPr>
      </w:pPr>
      <w:r w:rsidRPr="00D77A1B">
        <w:rPr>
          <w:b/>
          <w:sz w:val="28"/>
          <w:szCs w:val="28"/>
        </w:rPr>
        <w:t>5</w:t>
      </w:r>
      <w:r w:rsidR="00B13EDC" w:rsidRPr="00D77A1B">
        <w:rPr>
          <w:b/>
          <w:sz w:val="28"/>
          <w:szCs w:val="28"/>
        </w:rPr>
        <w:t>.</w:t>
      </w:r>
      <w:r w:rsidRPr="00D77A1B">
        <w:rPr>
          <w:b/>
          <w:sz w:val="28"/>
          <w:szCs w:val="28"/>
        </w:rPr>
        <w:t xml:space="preserve">  </w:t>
      </w:r>
      <w:r w:rsidR="00B13EDC" w:rsidRPr="00D77A1B">
        <w:rPr>
          <w:sz w:val="28"/>
          <w:szCs w:val="28"/>
        </w:rPr>
        <w:t xml:space="preserve"> </w:t>
      </w:r>
      <w:r w:rsidR="00B13EDC" w:rsidRPr="00D77A1B">
        <w:rPr>
          <w:b/>
          <w:sz w:val="28"/>
          <w:szCs w:val="28"/>
        </w:rPr>
        <w:t>Кредитование юридических лиц</w:t>
      </w:r>
      <w:r w:rsidR="004C7E51">
        <w:rPr>
          <w:b/>
          <w:sz w:val="28"/>
          <w:szCs w:val="28"/>
        </w:rPr>
        <w:t xml:space="preserve">. </w:t>
      </w:r>
    </w:p>
    <w:p w:rsidR="00ED23F4" w:rsidRPr="00ED23F4" w:rsidRDefault="00ED23F4" w:rsidP="00ED23F4">
      <w:pPr>
        <w:autoSpaceDE w:val="0"/>
        <w:autoSpaceDN w:val="0"/>
        <w:adjustRightInd w:val="0"/>
        <w:jc w:val="both"/>
        <w:rPr>
          <w:bCs/>
          <w:sz w:val="28"/>
          <w:szCs w:val="28"/>
          <w:vertAlign w:val="superscript"/>
        </w:rPr>
      </w:pPr>
      <w:r w:rsidRPr="00ED23F4">
        <w:rPr>
          <w:sz w:val="28"/>
          <w:szCs w:val="28"/>
        </w:rPr>
        <w:t>К</w:t>
      </w:r>
      <w:r>
        <w:rPr>
          <w:sz w:val="28"/>
          <w:szCs w:val="28"/>
        </w:rPr>
        <w:t xml:space="preserve">редит, предоставляемый субъектам малого и среднего бизнеса на финансирование инвестиционных проектов за счет ресурсов </w:t>
      </w:r>
      <w:r w:rsidR="00806FFB">
        <w:rPr>
          <w:sz w:val="28"/>
          <w:szCs w:val="28"/>
        </w:rPr>
        <w:t>«</w:t>
      </w:r>
      <w:r w:rsidRPr="00ED23F4">
        <w:rPr>
          <w:bCs/>
          <w:sz w:val="28"/>
          <w:szCs w:val="28"/>
        </w:rPr>
        <w:t>ЕВРОПЕЙСКОГО ИНВЕСТИЦИОННОГО БАНКА»</w:t>
      </w:r>
    </w:p>
    <w:tbl>
      <w:tblPr>
        <w:tblW w:w="9781" w:type="dxa"/>
        <w:tblInd w:w="-5" w:type="dxa"/>
        <w:tblLayout w:type="fixed"/>
        <w:tblCellMar>
          <w:top w:w="102" w:type="dxa"/>
          <w:left w:w="62" w:type="dxa"/>
          <w:bottom w:w="102" w:type="dxa"/>
          <w:right w:w="62" w:type="dxa"/>
        </w:tblCellMar>
        <w:tblLook w:val="04A0" w:firstRow="1" w:lastRow="0" w:firstColumn="1" w:lastColumn="0" w:noHBand="0" w:noVBand="1"/>
      </w:tblPr>
      <w:tblGrid>
        <w:gridCol w:w="364"/>
        <w:gridCol w:w="2755"/>
        <w:gridCol w:w="6662"/>
      </w:tblGrid>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Наименование критерия</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Условия</w:t>
            </w:r>
          </w:p>
        </w:tc>
      </w:tr>
      <w:tr w:rsidR="00806FFB" w:rsidRPr="00ED23F4" w:rsidTr="00806FFB">
        <w:tc>
          <w:tcPr>
            <w:tcW w:w="364" w:type="dxa"/>
            <w:tcBorders>
              <w:top w:val="single" w:sz="4" w:space="0" w:color="auto"/>
              <w:left w:val="single" w:sz="4" w:space="0" w:color="auto"/>
              <w:bottom w:val="single" w:sz="4" w:space="0" w:color="auto"/>
              <w:right w:val="single" w:sz="4" w:space="0" w:color="auto"/>
            </w:tcBorders>
          </w:tcPr>
          <w:p w:rsidR="00806FFB" w:rsidRPr="00ED23F4" w:rsidRDefault="00806FFB" w:rsidP="00806FFB">
            <w:pPr>
              <w:autoSpaceDE w:val="0"/>
              <w:autoSpaceDN w:val="0"/>
              <w:adjustRightInd w:val="0"/>
              <w:jc w:val="center"/>
              <w:rPr>
                <w:sz w:val="22"/>
                <w:szCs w:val="22"/>
                <w:lang w:eastAsia="en-US"/>
              </w:rPr>
            </w:pPr>
          </w:p>
        </w:tc>
        <w:tc>
          <w:tcPr>
            <w:tcW w:w="2755" w:type="dxa"/>
            <w:tcBorders>
              <w:top w:val="single" w:sz="4" w:space="0" w:color="auto"/>
              <w:left w:val="single" w:sz="4" w:space="0" w:color="auto"/>
              <w:bottom w:val="single" w:sz="4" w:space="0" w:color="auto"/>
              <w:right w:val="single" w:sz="4" w:space="0" w:color="auto"/>
            </w:tcBorders>
          </w:tcPr>
          <w:p w:rsidR="00806FFB" w:rsidRPr="00ED23F4" w:rsidRDefault="00806FFB" w:rsidP="00806FFB">
            <w:pPr>
              <w:autoSpaceDE w:val="0"/>
              <w:autoSpaceDN w:val="0"/>
              <w:adjustRightInd w:val="0"/>
              <w:jc w:val="center"/>
              <w:rPr>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tcPr>
          <w:p w:rsidR="00806FFB" w:rsidRPr="00ED23F4" w:rsidRDefault="00806FFB" w:rsidP="00806FFB">
            <w:pPr>
              <w:autoSpaceDE w:val="0"/>
              <w:autoSpaceDN w:val="0"/>
              <w:adjustRightInd w:val="0"/>
              <w:jc w:val="center"/>
              <w:rPr>
                <w:sz w:val="22"/>
                <w:szCs w:val="22"/>
                <w:lang w:eastAsia="en-US"/>
              </w:rPr>
            </w:pP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1</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Заявители</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Малые и средние предприятия с кредитным рейтингом «А+», «А», «А-», «В+», «В», «В-», «С+», «С» либо в отношении которых расчет кредитных рейтингов не производится в соответствии с ЛНПА.</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2</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Цель кредита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 xml:space="preserve">Финансирование инвестиционных </w:t>
            </w:r>
            <w:proofErr w:type="spellStart"/>
            <w:r w:rsidRPr="00ED23F4">
              <w:rPr>
                <w:rFonts w:eastAsia="Calibri"/>
                <w:sz w:val="22"/>
                <w:szCs w:val="22"/>
                <w:lang w:eastAsia="en-US"/>
              </w:rPr>
              <w:t>субпроектов</w:t>
            </w:r>
            <w:proofErr w:type="spellEnd"/>
            <w:r w:rsidRPr="00ED23F4">
              <w:rPr>
                <w:rFonts w:eastAsia="Calibri"/>
                <w:sz w:val="22"/>
                <w:szCs w:val="22"/>
                <w:lang w:eastAsia="en-US"/>
              </w:rPr>
              <w:t>, которые отвечают критериям приемлемости ЕИБ, статьи расходов которых соответствуют критериям приемлемости ЕИБ.</w:t>
            </w:r>
          </w:p>
        </w:tc>
      </w:tr>
      <w:tr w:rsidR="00ED23F4" w:rsidRPr="00ED23F4" w:rsidTr="00806FFB">
        <w:trPr>
          <w:trHeight w:val="975"/>
        </w:trPr>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val="en-US" w:eastAsia="en-US"/>
              </w:rPr>
            </w:pPr>
            <w:r w:rsidRPr="00ED23F4">
              <w:rPr>
                <w:sz w:val="22"/>
                <w:szCs w:val="22"/>
                <w:lang w:val="en-US" w:eastAsia="en-US"/>
              </w:rPr>
              <w:t>3</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lang w:eastAsia="en-US"/>
              </w:rPr>
            </w:pPr>
            <w:r w:rsidRPr="00ED23F4">
              <w:rPr>
                <w:rFonts w:eastAsia="Calibri"/>
                <w:sz w:val="22"/>
                <w:szCs w:val="22"/>
                <w:lang w:eastAsia="en-US"/>
              </w:rPr>
              <w:t>Доля участия собственными средствами в финансировании кредитуемого проекта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sz w:val="22"/>
                <w:szCs w:val="22"/>
                <w:lang w:eastAsia="en-US"/>
              </w:rPr>
            </w:pPr>
            <w:r w:rsidRPr="00ED23F4">
              <w:rPr>
                <w:rFonts w:eastAsia="Calibri"/>
                <w:sz w:val="22"/>
                <w:szCs w:val="22"/>
                <w:lang w:eastAsia="en-US"/>
              </w:rPr>
              <w:t>Не менее 10%.</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4</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sz w:val="22"/>
                <w:szCs w:val="22"/>
                <w:lang w:eastAsia="en-US"/>
              </w:rPr>
            </w:pPr>
            <w:r w:rsidRPr="00ED23F4">
              <w:rPr>
                <w:rFonts w:eastAsia="Calibri"/>
                <w:sz w:val="22"/>
                <w:szCs w:val="22"/>
                <w:lang w:eastAsia="en-US"/>
              </w:rPr>
              <w:t>Валюта кредита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sz w:val="22"/>
                <w:szCs w:val="22"/>
                <w:vertAlign w:val="superscript"/>
                <w:lang w:eastAsia="en-US"/>
              </w:rPr>
            </w:pPr>
            <w:r w:rsidRPr="00ED23F4">
              <w:rPr>
                <w:rFonts w:eastAsia="Calibri"/>
                <w:sz w:val="22"/>
                <w:szCs w:val="22"/>
                <w:lang w:eastAsia="en-US"/>
              </w:rPr>
              <w:t>Евро, белорусские рубли</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5</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Сумма кредита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 xml:space="preserve">До 12,5 млн. евро в эквиваленте, но не более максимального лимита, </w:t>
            </w:r>
            <w:r w:rsidR="00806FFB">
              <w:rPr>
                <w:rFonts w:eastAsia="Calibri"/>
                <w:sz w:val="22"/>
                <w:szCs w:val="22"/>
                <w:lang w:eastAsia="en-US"/>
              </w:rPr>
              <w:t>который</w:t>
            </w:r>
            <w:r w:rsidR="00806FFB" w:rsidRPr="00806FFB">
              <w:rPr>
                <w:rFonts w:eastAsia="Calibri"/>
                <w:sz w:val="22"/>
                <w:szCs w:val="22"/>
              </w:rPr>
              <w:t xml:space="preserve"> составляет 600 000 (шестьсот тысяч) белорусских рублей в эквиваленте</w:t>
            </w:r>
            <w:r w:rsidRPr="00ED23F4">
              <w:rPr>
                <w:rFonts w:eastAsia="Calibri"/>
                <w:sz w:val="22"/>
                <w:szCs w:val="22"/>
                <w:lang w:eastAsia="en-US"/>
              </w:rPr>
              <w:t>.</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6</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sz w:val="22"/>
                <w:szCs w:val="22"/>
                <w:lang w:eastAsia="en-US"/>
              </w:rPr>
            </w:pPr>
            <w:r w:rsidRPr="00ED23F4">
              <w:rPr>
                <w:rFonts w:eastAsia="Calibri"/>
                <w:sz w:val="22"/>
                <w:szCs w:val="22"/>
                <w:lang w:eastAsia="en-US"/>
              </w:rPr>
              <w:t xml:space="preserve">Сумма </w:t>
            </w:r>
            <w:proofErr w:type="spellStart"/>
            <w:r w:rsidRPr="00ED23F4">
              <w:rPr>
                <w:rFonts w:eastAsia="Calibri"/>
                <w:sz w:val="22"/>
                <w:szCs w:val="22"/>
                <w:lang w:eastAsia="en-US"/>
              </w:rPr>
              <w:t>субпроекта</w:t>
            </w:r>
            <w:proofErr w:type="spellEnd"/>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rFonts w:eastAsia="Calibri"/>
                <w:sz w:val="22"/>
                <w:szCs w:val="22"/>
                <w:lang w:eastAsia="en-US"/>
              </w:rPr>
            </w:pPr>
            <w:r w:rsidRPr="00ED23F4">
              <w:rPr>
                <w:rFonts w:eastAsia="Calibri"/>
                <w:sz w:val="22"/>
                <w:szCs w:val="22"/>
                <w:lang w:eastAsia="en-US"/>
              </w:rPr>
              <w:t>До 25,0 млн. евро в эквиваленте.</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7</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Форма предоставления кредита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proofErr w:type="spellStart"/>
            <w:r w:rsidRPr="00ED23F4">
              <w:rPr>
                <w:sz w:val="22"/>
                <w:szCs w:val="22"/>
                <w:lang w:eastAsia="en-US"/>
              </w:rPr>
              <w:t>Невозобновляемая</w:t>
            </w:r>
            <w:proofErr w:type="spellEnd"/>
            <w:r w:rsidRPr="00ED23F4">
              <w:rPr>
                <w:sz w:val="22"/>
                <w:szCs w:val="22"/>
                <w:lang w:eastAsia="en-US"/>
              </w:rPr>
              <w:t xml:space="preserve"> кредитная линия (далее – НКЛ).</w:t>
            </w:r>
          </w:p>
          <w:p w:rsidR="00ED23F4" w:rsidRPr="00ED23F4" w:rsidRDefault="00ED23F4" w:rsidP="00806FFB">
            <w:pPr>
              <w:autoSpaceDE w:val="0"/>
              <w:autoSpaceDN w:val="0"/>
              <w:adjustRightInd w:val="0"/>
              <w:rPr>
                <w:sz w:val="22"/>
                <w:szCs w:val="22"/>
                <w:lang w:eastAsia="en-US"/>
              </w:rPr>
            </w:pPr>
            <w:r w:rsidRPr="00ED23F4">
              <w:rPr>
                <w:sz w:val="22"/>
                <w:szCs w:val="22"/>
                <w:lang w:eastAsia="en-US"/>
              </w:rPr>
              <w:t>Единовременное предоставление кредита (далее – ЕПК).</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8</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sz w:val="22"/>
                <w:szCs w:val="22"/>
                <w:lang w:eastAsia="en-US"/>
              </w:rPr>
            </w:pPr>
            <w:r w:rsidRPr="00ED23F4">
              <w:rPr>
                <w:rFonts w:eastAsia="Calibri"/>
                <w:sz w:val="22"/>
                <w:szCs w:val="22"/>
                <w:lang w:eastAsia="en-US"/>
              </w:rPr>
              <w:t xml:space="preserve">Срок предоставления кредита (срок </w:t>
            </w:r>
            <w:proofErr w:type="spellStart"/>
            <w:r w:rsidRPr="00ED23F4">
              <w:rPr>
                <w:rFonts w:eastAsia="Calibri"/>
                <w:sz w:val="22"/>
                <w:szCs w:val="22"/>
                <w:lang w:eastAsia="en-US"/>
              </w:rPr>
              <w:t>возобновляемости</w:t>
            </w:r>
            <w:proofErr w:type="spellEnd"/>
            <w:r w:rsidRPr="00ED23F4">
              <w:rPr>
                <w:rFonts w:eastAsia="Calibri"/>
                <w:sz w:val="22"/>
                <w:szCs w:val="22"/>
                <w:lang w:eastAsia="en-US"/>
              </w:rPr>
              <w:t xml:space="preserve"> </w:t>
            </w:r>
            <w:r w:rsidRPr="00ED23F4">
              <w:rPr>
                <w:rFonts w:eastAsia="Calibri"/>
                <w:sz w:val="22"/>
                <w:szCs w:val="22"/>
                <w:lang w:eastAsia="en-US"/>
              </w:rPr>
              <w:lastRenderedPageBreak/>
              <w:t>кредитной линии)</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rFonts w:eastAsia="Calibri"/>
                <w:sz w:val="22"/>
                <w:szCs w:val="22"/>
                <w:lang w:eastAsia="en-US"/>
              </w:rPr>
            </w:pPr>
            <w:r w:rsidRPr="00ED23F4">
              <w:rPr>
                <w:rFonts w:eastAsia="Calibri"/>
                <w:sz w:val="22"/>
                <w:szCs w:val="22"/>
                <w:lang w:eastAsia="en-US"/>
              </w:rPr>
              <w:lastRenderedPageBreak/>
              <w:t>Не более 12 месяцев при открытии НКЛ;</w:t>
            </w:r>
          </w:p>
          <w:p w:rsidR="00ED23F4" w:rsidRPr="00ED23F4" w:rsidRDefault="00ED23F4" w:rsidP="00806FFB">
            <w:pPr>
              <w:autoSpaceDE w:val="0"/>
              <w:autoSpaceDN w:val="0"/>
              <w:adjustRightInd w:val="0"/>
              <w:rPr>
                <w:rFonts w:eastAsia="Calibri"/>
                <w:sz w:val="22"/>
                <w:szCs w:val="22"/>
                <w:lang w:eastAsia="en-US"/>
              </w:rPr>
            </w:pPr>
            <w:r w:rsidRPr="00ED23F4">
              <w:rPr>
                <w:rFonts w:eastAsia="Calibri"/>
                <w:sz w:val="22"/>
                <w:szCs w:val="22"/>
                <w:lang w:eastAsia="en-US"/>
              </w:rPr>
              <w:t>не более 1 месяца при ЕПК.</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lastRenderedPageBreak/>
              <w:t>9</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Срок полного возврата (погашения) кредита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rFonts w:eastAsia="Calibri"/>
                <w:sz w:val="22"/>
                <w:szCs w:val="22"/>
                <w:lang w:eastAsia="en-US"/>
              </w:rPr>
              <w:t>Не менее 2 лет до 6 лет.</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10</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rFonts w:eastAsia="Calibri"/>
                <w:sz w:val="22"/>
                <w:szCs w:val="22"/>
                <w:lang w:eastAsia="en-US"/>
              </w:rPr>
              <w:t>Размер процентов за пользование кредитом</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по белорусским рублям - переменная процентная ставка в размере ставки рефинансирования Национального банка Республики Беларусь, уменьшенной на 2,01 п. п., что по состоянию на 01.0</w:t>
            </w:r>
            <w:r>
              <w:rPr>
                <w:rFonts w:eastAsia="Calibri"/>
                <w:sz w:val="22"/>
                <w:szCs w:val="22"/>
                <w:lang w:eastAsia="en-US"/>
              </w:rPr>
              <w:t>5</w:t>
            </w:r>
            <w:r w:rsidRPr="00ED23F4">
              <w:rPr>
                <w:rFonts w:eastAsia="Calibri"/>
                <w:sz w:val="22"/>
                <w:szCs w:val="22"/>
                <w:lang w:eastAsia="en-US"/>
              </w:rPr>
              <w:t>.2019 составляет 7,99% годовых.</w:t>
            </w:r>
          </w:p>
        </w:tc>
      </w:tr>
      <w:tr w:rsidR="00ED23F4" w:rsidRPr="00ED23F4" w:rsidTr="00806FFB">
        <w:tc>
          <w:tcPr>
            <w:tcW w:w="364"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11</w:t>
            </w:r>
          </w:p>
        </w:tc>
        <w:tc>
          <w:tcPr>
            <w:tcW w:w="2755"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Промежуточные сроки погашения основного долга</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Погашение осуществляется:</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11.1. по ЕПК:</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11.1.1. ежемесячно, начиная с месяца, следующего за месяцем предоставления кредита по кредитному договору, равными частями;</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11.1.2. при наличии обоснования по индивидуальному графику погашения (с учетом сезонности деятельности, сроков реализации готовой продукции, длительности финансового, операционного цикла и др.). При этом допускается установление первого срока платежа по кредиту не позднее 24 месяцев включительно с даты предоставления кредита по кредитному договору;</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11.2. по НКЛ;</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11.2.1. ежемесячно, начиная с месяца, следующего за месяцем предоставления первого транша кредита по кредитному договору, равными частями;</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11.2.2. при наличии обоснования по индивидуальному графику погашения (с учетом сезонности деятельности, сроков реализации готовой продукции, длительности финансового, операционного цикла и др.). При этом допускается установление первого срока платежа по кредиту не позднее 24 месяцев включительно с даты предоставления первого транша кредита по кредитному договору.</w:t>
            </w:r>
          </w:p>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Не допускается установление срока погашения кредита одним платежом в срок полного возврата (погашения) кредита.</w:t>
            </w:r>
          </w:p>
        </w:tc>
      </w:tr>
      <w:tr w:rsidR="00ED23F4" w:rsidRPr="00ED23F4" w:rsidTr="00806FFB">
        <w:tc>
          <w:tcPr>
            <w:tcW w:w="364" w:type="dxa"/>
            <w:vMerge w:val="restart"/>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center"/>
              <w:rPr>
                <w:sz w:val="22"/>
                <w:szCs w:val="22"/>
                <w:lang w:eastAsia="en-US"/>
              </w:rPr>
            </w:pPr>
            <w:r w:rsidRPr="00ED23F4">
              <w:rPr>
                <w:sz w:val="22"/>
                <w:szCs w:val="22"/>
                <w:lang w:eastAsia="en-US"/>
              </w:rPr>
              <w:t>12</w:t>
            </w:r>
          </w:p>
        </w:tc>
        <w:tc>
          <w:tcPr>
            <w:tcW w:w="2755" w:type="dxa"/>
            <w:vMerge w:val="restart"/>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rPr>
                <w:sz w:val="22"/>
                <w:szCs w:val="22"/>
                <w:lang w:eastAsia="en-US"/>
              </w:rPr>
            </w:pPr>
            <w:r w:rsidRPr="00ED23F4">
              <w:rPr>
                <w:sz w:val="22"/>
                <w:szCs w:val="22"/>
                <w:lang w:eastAsia="en-US"/>
              </w:rPr>
              <w:t>Дополнительные условия</w:t>
            </w: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rFonts w:eastAsia="Calibri"/>
                <w:sz w:val="22"/>
                <w:szCs w:val="22"/>
                <w:lang w:eastAsia="en-US"/>
              </w:rPr>
            </w:pPr>
            <w:r w:rsidRPr="00ED23F4">
              <w:rPr>
                <w:rFonts w:eastAsia="Calibri"/>
                <w:sz w:val="22"/>
                <w:szCs w:val="22"/>
                <w:lang w:eastAsia="en-US"/>
              </w:rPr>
              <w:t xml:space="preserve">12.1. Документы, представляемые заявителем для получения финансирования за счет ресурсов ЕИБ должны содержать описание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 xml:space="preserve"> и обоснование финансовой, технической реализуемости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 в том числе:</w:t>
            </w:r>
          </w:p>
          <w:p w:rsidR="00ED23F4" w:rsidRPr="00ED23F4" w:rsidRDefault="00ED23F4" w:rsidP="00806FFB">
            <w:pPr>
              <w:autoSpaceDE w:val="0"/>
              <w:autoSpaceDN w:val="0"/>
              <w:adjustRightInd w:val="0"/>
              <w:jc w:val="both"/>
              <w:rPr>
                <w:rFonts w:eastAsia="Calibri"/>
                <w:sz w:val="22"/>
                <w:szCs w:val="22"/>
                <w:lang w:eastAsia="en-US"/>
              </w:rPr>
            </w:pPr>
            <w:r w:rsidRPr="00ED23F4">
              <w:rPr>
                <w:rFonts w:eastAsia="Calibri"/>
                <w:sz w:val="22"/>
                <w:szCs w:val="22"/>
                <w:lang w:eastAsia="en-US"/>
              </w:rPr>
              <w:t xml:space="preserve">краткое описание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 xml:space="preserve"> (цель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 xml:space="preserve">, объект финансирования, описание продукции, работ или услуг, которые предполагается производить, выполнять или оказывать по результатам реализации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 потенциальные потребители, прогнозируемые объемы реализации (их изменение), план по персоналу и прочее), описание деятельности предприятия (сфера деятельности, опыт производственно-хозяйственной деятельности, сильные и слабые стороны деятельности предприятия, сезонный характер сбыта продукции, серийный или мелкосерийный характер производства, конкурентные преимущества и прочее);</w:t>
            </w:r>
          </w:p>
          <w:p w:rsidR="00ED23F4" w:rsidRPr="00ED23F4" w:rsidRDefault="00ED23F4" w:rsidP="00806FFB">
            <w:pPr>
              <w:autoSpaceDE w:val="0"/>
              <w:autoSpaceDN w:val="0"/>
              <w:adjustRightInd w:val="0"/>
              <w:jc w:val="both"/>
              <w:rPr>
                <w:rFonts w:eastAsia="Calibri"/>
                <w:sz w:val="22"/>
                <w:szCs w:val="22"/>
                <w:lang w:eastAsia="en-US"/>
              </w:rPr>
            </w:pPr>
            <w:r w:rsidRPr="00ED23F4">
              <w:rPr>
                <w:rFonts w:eastAsia="Calibri"/>
                <w:sz w:val="22"/>
                <w:szCs w:val="22"/>
                <w:lang w:eastAsia="en-US"/>
              </w:rPr>
              <w:t xml:space="preserve">финансовую информацию (статьи расходов на </w:t>
            </w:r>
            <w:proofErr w:type="spellStart"/>
            <w:r w:rsidRPr="00ED23F4">
              <w:rPr>
                <w:rFonts w:eastAsia="Calibri"/>
                <w:sz w:val="22"/>
                <w:szCs w:val="22"/>
                <w:lang w:eastAsia="en-US"/>
              </w:rPr>
              <w:t>субпроект</w:t>
            </w:r>
            <w:proofErr w:type="spellEnd"/>
            <w:r w:rsidRPr="00ED23F4">
              <w:rPr>
                <w:rFonts w:eastAsia="Calibri"/>
                <w:sz w:val="22"/>
                <w:szCs w:val="22"/>
                <w:lang w:eastAsia="en-US"/>
              </w:rPr>
              <w:t xml:space="preserve">, описание дополнительных источников финансирования, обзор прогнозных финансовых показателей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w:t>
            </w:r>
          </w:p>
          <w:p w:rsidR="00ED23F4" w:rsidRPr="00ED23F4" w:rsidRDefault="00ED23F4" w:rsidP="00806FFB">
            <w:pPr>
              <w:autoSpaceDE w:val="0"/>
              <w:autoSpaceDN w:val="0"/>
              <w:adjustRightInd w:val="0"/>
              <w:jc w:val="both"/>
              <w:rPr>
                <w:rFonts w:eastAsia="Calibri"/>
                <w:sz w:val="22"/>
                <w:szCs w:val="22"/>
                <w:lang w:eastAsia="en-US"/>
              </w:rPr>
            </w:pPr>
            <w:r w:rsidRPr="00ED23F4">
              <w:rPr>
                <w:rFonts w:eastAsia="Calibri"/>
                <w:sz w:val="22"/>
                <w:szCs w:val="22"/>
                <w:lang w:eastAsia="en-US"/>
              </w:rPr>
              <w:t xml:space="preserve">техническую информацию (располагаемые мощности по выпуску продукции, их загрузка, краткая характеристика имеющихся технологий, основных средств, соответствие уровню технологий и оборудования ведущих мировых производителей и т.п.; сведения о правах на имеющиеся основные средства (права собственности, хозяйственного ведения, оперативного управления, аренды, финансовой аренды (лизинга), о наличии земельного участка и </w:t>
            </w:r>
            <w:r w:rsidRPr="00ED23F4">
              <w:rPr>
                <w:rFonts w:eastAsia="Calibri"/>
                <w:sz w:val="22"/>
                <w:szCs w:val="22"/>
                <w:lang w:eastAsia="en-US"/>
              </w:rPr>
              <w:lastRenderedPageBreak/>
              <w:t>правах на него).</w:t>
            </w:r>
          </w:p>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 xml:space="preserve">По предприятиям, реализующим </w:t>
            </w:r>
            <w:proofErr w:type="spellStart"/>
            <w:r w:rsidRPr="00ED23F4">
              <w:rPr>
                <w:rFonts w:eastAsia="Calibri"/>
                <w:sz w:val="22"/>
                <w:szCs w:val="22"/>
                <w:lang w:eastAsia="en-US"/>
              </w:rPr>
              <w:t>субпроекты</w:t>
            </w:r>
            <w:proofErr w:type="spellEnd"/>
            <w:r w:rsidRPr="00ED23F4">
              <w:rPr>
                <w:rFonts w:eastAsia="Calibri"/>
                <w:sz w:val="22"/>
                <w:szCs w:val="22"/>
                <w:lang w:eastAsia="en-US"/>
              </w:rPr>
              <w:t xml:space="preserve">, приведенные в приложении 16 к Условиям, для получения финансирования заемщик должен представить в Банк форму экологического скрининга </w:t>
            </w:r>
            <w:proofErr w:type="spellStart"/>
            <w:r w:rsidRPr="00ED23F4">
              <w:rPr>
                <w:rFonts w:eastAsia="Calibri"/>
                <w:sz w:val="22"/>
                <w:szCs w:val="22"/>
                <w:lang w:eastAsia="en-US"/>
              </w:rPr>
              <w:t>субпроекта</w:t>
            </w:r>
            <w:proofErr w:type="spellEnd"/>
            <w:r w:rsidRPr="00ED23F4">
              <w:rPr>
                <w:rFonts w:eastAsia="Calibri"/>
                <w:sz w:val="22"/>
                <w:szCs w:val="22"/>
                <w:lang w:eastAsia="en-US"/>
              </w:rPr>
              <w:t>. По данным проектам требуется Оценка Воздействия на окружающую Среду.</w:t>
            </w:r>
          </w:p>
        </w:tc>
      </w:tr>
      <w:tr w:rsidR="00ED23F4" w:rsidRPr="00ED23F4" w:rsidTr="00806FFB">
        <w:tc>
          <w:tcPr>
            <w:tcW w:w="364" w:type="dxa"/>
            <w:vMerge/>
            <w:tcBorders>
              <w:top w:val="single" w:sz="4" w:space="0" w:color="auto"/>
              <w:left w:val="single" w:sz="4" w:space="0" w:color="auto"/>
              <w:bottom w:val="single" w:sz="4" w:space="0" w:color="auto"/>
              <w:right w:val="single" w:sz="4" w:space="0" w:color="auto"/>
            </w:tcBorders>
            <w:vAlign w:val="center"/>
            <w:hideMark/>
          </w:tcPr>
          <w:p w:rsidR="00ED23F4" w:rsidRPr="00ED23F4" w:rsidRDefault="00ED23F4" w:rsidP="00806FFB">
            <w:pPr>
              <w:rPr>
                <w:sz w:val="22"/>
                <w:szCs w:val="22"/>
                <w:lang w:eastAsia="en-US"/>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ED23F4" w:rsidRPr="00ED23F4" w:rsidRDefault="00ED23F4" w:rsidP="00806FFB">
            <w:pPr>
              <w:rPr>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rFonts w:eastAsia="Calibri"/>
                <w:sz w:val="22"/>
                <w:szCs w:val="22"/>
                <w:lang w:eastAsia="en-US"/>
              </w:rPr>
              <w:t>12.2. Заявитель должен соответствовать Критериям приемлемости для получения финансирования за счет ресурсов ЕИБ, приведенным в приложении 5 к Условиям.</w:t>
            </w:r>
          </w:p>
        </w:tc>
      </w:tr>
      <w:tr w:rsidR="00ED23F4" w:rsidRPr="00ED23F4" w:rsidTr="00806FFB">
        <w:tc>
          <w:tcPr>
            <w:tcW w:w="364" w:type="dxa"/>
            <w:vMerge/>
            <w:tcBorders>
              <w:top w:val="single" w:sz="4" w:space="0" w:color="auto"/>
              <w:left w:val="single" w:sz="4" w:space="0" w:color="auto"/>
              <w:bottom w:val="single" w:sz="4" w:space="0" w:color="auto"/>
              <w:right w:val="single" w:sz="4" w:space="0" w:color="auto"/>
            </w:tcBorders>
            <w:vAlign w:val="center"/>
          </w:tcPr>
          <w:p w:rsidR="00ED23F4" w:rsidRPr="00ED23F4" w:rsidRDefault="00ED23F4" w:rsidP="00806FFB">
            <w:pPr>
              <w:rPr>
                <w:sz w:val="22"/>
                <w:szCs w:val="22"/>
                <w:lang w:eastAsia="en-US"/>
              </w:rPr>
            </w:pPr>
          </w:p>
        </w:tc>
        <w:tc>
          <w:tcPr>
            <w:tcW w:w="2755" w:type="dxa"/>
            <w:vMerge/>
            <w:tcBorders>
              <w:top w:val="single" w:sz="4" w:space="0" w:color="auto"/>
              <w:left w:val="single" w:sz="4" w:space="0" w:color="auto"/>
              <w:bottom w:val="single" w:sz="4" w:space="0" w:color="auto"/>
              <w:right w:val="single" w:sz="4" w:space="0" w:color="auto"/>
            </w:tcBorders>
            <w:vAlign w:val="center"/>
          </w:tcPr>
          <w:p w:rsidR="00ED23F4" w:rsidRPr="00ED23F4" w:rsidRDefault="00ED23F4" w:rsidP="00806FFB">
            <w:pPr>
              <w:rPr>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tcPr>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10.3. Кредит в белорусских рублях предоставляется заявителю:</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10.3.1. юридическому лицу, местом нахождения которого является один из районов, приведенных в приложении к настоящей Спецификации;</w:t>
            </w:r>
          </w:p>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10.3.2. индивидуальному предпринимателю, местом жительства которого является один из районов, приведенных в приложении к настоящей Спецификации.</w:t>
            </w:r>
          </w:p>
        </w:tc>
      </w:tr>
      <w:tr w:rsidR="00ED23F4" w:rsidRPr="00ED23F4" w:rsidTr="00806FFB">
        <w:tc>
          <w:tcPr>
            <w:tcW w:w="364" w:type="dxa"/>
            <w:vMerge/>
            <w:tcBorders>
              <w:top w:val="single" w:sz="4" w:space="0" w:color="auto"/>
              <w:left w:val="single" w:sz="4" w:space="0" w:color="auto"/>
              <w:bottom w:val="single" w:sz="4" w:space="0" w:color="auto"/>
              <w:right w:val="single" w:sz="4" w:space="0" w:color="auto"/>
            </w:tcBorders>
            <w:vAlign w:val="center"/>
            <w:hideMark/>
          </w:tcPr>
          <w:p w:rsidR="00ED23F4" w:rsidRPr="00ED23F4" w:rsidRDefault="00ED23F4" w:rsidP="00806FFB">
            <w:pPr>
              <w:rPr>
                <w:sz w:val="22"/>
                <w:szCs w:val="22"/>
                <w:lang w:eastAsia="en-US"/>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ED23F4" w:rsidRPr="00ED23F4" w:rsidRDefault="00ED23F4" w:rsidP="00806FFB">
            <w:pPr>
              <w:rPr>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ED23F4" w:rsidRPr="00ED23F4" w:rsidRDefault="00ED23F4" w:rsidP="00806FFB">
            <w:pPr>
              <w:autoSpaceDE w:val="0"/>
              <w:autoSpaceDN w:val="0"/>
              <w:adjustRightInd w:val="0"/>
              <w:jc w:val="both"/>
              <w:rPr>
                <w:sz w:val="22"/>
                <w:szCs w:val="22"/>
                <w:lang w:eastAsia="en-US"/>
              </w:rPr>
            </w:pPr>
            <w:r w:rsidRPr="00ED23F4">
              <w:rPr>
                <w:sz w:val="22"/>
                <w:szCs w:val="22"/>
                <w:lang w:eastAsia="en-US"/>
              </w:rPr>
              <w:t xml:space="preserve">12.4. В рамках настоящего банковского продукта должен соблюдаться </w:t>
            </w:r>
            <w:proofErr w:type="spellStart"/>
            <w:r w:rsidRPr="00ED23F4">
              <w:rPr>
                <w:sz w:val="22"/>
                <w:szCs w:val="22"/>
                <w:lang w:eastAsia="en-US"/>
              </w:rPr>
              <w:t>ковенант</w:t>
            </w:r>
            <w:proofErr w:type="spellEnd"/>
            <w:r w:rsidRPr="00ED23F4">
              <w:rPr>
                <w:sz w:val="22"/>
                <w:szCs w:val="22"/>
                <w:lang w:eastAsia="en-US"/>
              </w:rPr>
              <w:t xml:space="preserve"> 1 «Обязательство клиента обеспечить достаточность поступлений на счета клиента, открытые в Банке» в соответствии с ЛНПА, регламентирующим применение </w:t>
            </w:r>
            <w:proofErr w:type="spellStart"/>
            <w:r w:rsidRPr="00ED23F4">
              <w:rPr>
                <w:sz w:val="22"/>
                <w:szCs w:val="22"/>
                <w:lang w:eastAsia="en-US"/>
              </w:rPr>
              <w:t>ковенантов</w:t>
            </w:r>
            <w:proofErr w:type="spellEnd"/>
            <w:r w:rsidRPr="00ED23F4">
              <w:rPr>
                <w:sz w:val="22"/>
                <w:szCs w:val="22"/>
                <w:lang w:eastAsia="en-US"/>
              </w:rPr>
              <w:t xml:space="preserve"> при осуществлении активных операций с корпоративными клиентами.</w:t>
            </w:r>
          </w:p>
        </w:tc>
      </w:tr>
    </w:tbl>
    <w:p w:rsidR="00ED23F4" w:rsidRPr="00ED23F4" w:rsidRDefault="00ED23F4" w:rsidP="00ED23F4">
      <w:pPr>
        <w:spacing w:line="280" w:lineRule="exact"/>
        <w:jc w:val="both"/>
        <w:rPr>
          <w:sz w:val="28"/>
          <w:szCs w:val="28"/>
        </w:rPr>
      </w:pPr>
    </w:p>
    <w:p w:rsidR="00ED23F4" w:rsidRPr="00ED23F4" w:rsidRDefault="00B94366" w:rsidP="00ED23F4">
      <w:pPr>
        <w:autoSpaceDE w:val="0"/>
        <w:autoSpaceDN w:val="0"/>
        <w:adjustRightInd w:val="0"/>
        <w:jc w:val="center"/>
        <w:rPr>
          <w:bCs/>
          <w:sz w:val="28"/>
          <w:szCs w:val="28"/>
        </w:rPr>
      </w:pPr>
      <w:r>
        <w:rPr>
          <w:bCs/>
          <w:sz w:val="28"/>
          <w:szCs w:val="28"/>
        </w:rPr>
        <w:t>Чаусский</w:t>
      </w:r>
      <w:r w:rsidR="00ED23F4" w:rsidRPr="00ED23F4">
        <w:rPr>
          <w:bCs/>
          <w:sz w:val="28"/>
          <w:szCs w:val="28"/>
        </w:rPr>
        <w:t xml:space="preserve"> район</w:t>
      </w:r>
      <w:r>
        <w:rPr>
          <w:bCs/>
          <w:sz w:val="28"/>
          <w:szCs w:val="28"/>
        </w:rPr>
        <w:t xml:space="preserve"> относится </w:t>
      </w:r>
      <w:r w:rsidR="00ED23F4" w:rsidRPr="00ED23F4">
        <w:rPr>
          <w:bCs/>
          <w:sz w:val="28"/>
          <w:szCs w:val="28"/>
        </w:rPr>
        <w:t>с численностью райцентра до 50 тысяч жителей</w:t>
      </w:r>
    </w:p>
    <w:p w:rsidR="00B94366" w:rsidRDefault="00B94366" w:rsidP="00806FFB">
      <w:pPr>
        <w:pStyle w:val="ConsPlusTitle"/>
        <w:jc w:val="both"/>
        <w:rPr>
          <w:rFonts w:ascii="Times New Roman" w:hAnsi="Times New Roman" w:cs="Times New Roman"/>
          <w:szCs w:val="22"/>
          <w:lang w:val="ru-RU"/>
        </w:rPr>
      </w:pPr>
    </w:p>
    <w:p w:rsidR="00B94366" w:rsidRDefault="00B94366" w:rsidP="00806FFB">
      <w:pPr>
        <w:pStyle w:val="ConsPlusTitle"/>
        <w:jc w:val="both"/>
        <w:rPr>
          <w:rFonts w:ascii="Times New Roman" w:hAnsi="Times New Roman" w:cs="Times New Roman"/>
          <w:szCs w:val="22"/>
          <w:lang w:val="ru-RU"/>
        </w:rPr>
      </w:pPr>
    </w:p>
    <w:p w:rsidR="00806FFB" w:rsidRPr="000651A1" w:rsidRDefault="00806FFB" w:rsidP="00806FFB">
      <w:pPr>
        <w:pStyle w:val="ConsPlusTitle"/>
        <w:jc w:val="both"/>
        <w:rPr>
          <w:rFonts w:ascii="Times New Roman" w:hAnsi="Times New Roman" w:cs="Times New Roman"/>
          <w:szCs w:val="22"/>
          <w:lang w:val="ru-RU"/>
        </w:rPr>
      </w:pPr>
      <w:r>
        <w:rPr>
          <w:rFonts w:ascii="Times New Roman" w:hAnsi="Times New Roman" w:cs="Times New Roman"/>
          <w:szCs w:val="22"/>
          <w:lang w:val="ru-RU"/>
        </w:rPr>
        <w:t>Кредитование субъектов малого и среднего бизнеса по программе «</w:t>
      </w:r>
      <w:proofErr w:type="spellStart"/>
      <w:r>
        <w:rPr>
          <w:rFonts w:ascii="Times New Roman" w:hAnsi="Times New Roman" w:cs="Times New Roman"/>
          <w:szCs w:val="22"/>
          <w:lang w:val="ru-RU"/>
        </w:rPr>
        <w:t>Стартап</w:t>
      </w:r>
      <w:proofErr w:type="spellEnd"/>
      <w:r>
        <w:rPr>
          <w:rFonts w:ascii="Times New Roman" w:hAnsi="Times New Roman" w:cs="Times New Roman"/>
          <w:szCs w:val="22"/>
          <w:lang w:val="ru-RU"/>
        </w:rPr>
        <w:t>-компании»</w:t>
      </w:r>
      <w:r w:rsidRPr="000651A1">
        <w:rPr>
          <w:rFonts w:ascii="Times New Roman" w:hAnsi="Times New Roman" w:cs="Times New Roman"/>
          <w:szCs w:val="22"/>
          <w:lang w:val="ru-RU"/>
        </w:rPr>
        <w:t xml:space="preserve"> </w:t>
      </w:r>
    </w:p>
    <w:p w:rsidR="00806FFB" w:rsidRPr="000651A1" w:rsidRDefault="00806FFB" w:rsidP="00806FFB">
      <w:pPr>
        <w:spacing w:after="1"/>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211"/>
        <w:gridCol w:w="2267"/>
        <w:gridCol w:w="2437"/>
        <w:gridCol w:w="1700"/>
      </w:tblGrid>
      <w:tr w:rsidR="00806FFB" w:rsidRPr="000651A1" w:rsidTr="00806FFB">
        <w:tc>
          <w:tcPr>
            <w:tcW w:w="453" w:type="dxa"/>
          </w:tcPr>
          <w:p w:rsidR="00806FFB" w:rsidRPr="000651A1" w:rsidRDefault="00806FFB" w:rsidP="00806FFB">
            <w:pPr>
              <w:pStyle w:val="ConsPlusNormal"/>
              <w:jc w:val="center"/>
              <w:rPr>
                <w:rFonts w:ascii="Times New Roman" w:hAnsi="Times New Roman" w:cs="Times New Roman"/>
                <w:szCs w:val="22"/>
              </w:rPr>
            </w:pPr>
            <w:r w:rsidRPr="000651A1">
              <w:rPr>
                <w:rFonts w:ascii="Times New Roman" w:hAnsi="Times New Roman" w:cs="Times New Roman"/>
                <w:szCs w:val="22"/>
              </w:rPr>
              <w:t>N</w:t>
            </w:r>
          </w:p>
        </w:tc>
        <w:tc>
          <w:tcPr>
            <w:tcW w:w="2211" w:type="dxa"/>
          </w:tcPr>
          <w:p w:rsidR="00806FFB" w:rsidRPr="000651A1" w:rsidRDefault="00806FFB" w:rsidP="00806FFB">
            <w:pPr>
              <w:pStyle w:val="ConsPlusNormal"/>
              <w:jc w:val="center"/>
              <w:rPr>
                <w:rFonts w:ascii="Times New Roman" w:hAnsi="Times New Roman" w:cs="Times New Roman"/>
                <w:szCs w:val="22"/>
              </w:rPr>
            </w:pPr>
            <w:proofErr w:type="spellStart"/>
            <w:r w:rsidRPr="000651A1">
              <w:rPr>
                <w:rFonts w:ascii="Times New Roman" w:hAnsi="Times New Roman" w:cs="Times New Roman"/>
                <w:szCs w:val="22"/>
              </w:rPr>
              <w:t>Наименование</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критерия</w:t>
            </w:r>
            <w:proofErr w:type="spellEnd"/>
          </w:p>
        </w:tc>
        <w:tc>
          <w:tcPr>
            <w:tcW w:w="6404" w:type="dxa"/>
            <w:gridSpan w:val="3"/>
          </w:tcPr>
          <w:p w:rsidR="00806FFB" w:rsidRPr="000651A1" w:rsidRDefault="00806FFB" w:rsidP="00806FFB">
            <w:pPr>
              <w:pStyle w:val="ConsPlusNormal"/>
              <w:jc w:val="center"/>
              <w:rPr>
                <w:rFonts w:ascii="Times New Roman" w:hAnsi="Times New Roman" w:cs="Times New Roman"/>
                <w:szCs w:val="22"/>
              </w:rPr>
            </w:pPr>
            <w:proofErr w:type="spellStart"/>
            <w:r w:rsidRPr="000651A1">
              <w:rPr>
                <w:rFonts w:ascii="Times New Roman" w:hAnsi="Times New Roman" w:cs="Times New Roman"/>
                <w:szCs w:val="22"/>
              </w:rPr>
              <w:t>Условия</w:t>
            </w:r>
            <w:proofErr w:type="spellEnd"/>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1</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Субъект</w:t>
            </w:r>
            <w:proofErr w:type="spellEnd"/>
            <w:r w:rsidRPr="000651A1">
              <w:rPr>
                <w:rFonts w:ascii="Times New Roman" w:hAnsi="Times New Roman" w:cs="Times New Roman"/>
                <w:szCs w:val="22"/>
              </w:rPr>
              <w:t xml:space="preserve"> МСП</w:t>
            </w:r>
          </w:p>
        </w:tc>
        <w:tc>
          <w:tcPr>
            <w:tcW w:w="2267" w:type="dxa"/>
          </w:tcPr>
          <w:p w:rsidR="00806FFB" w:rsidRPr="000651A1" w:rsidRDefault="00806FFB" w:rsidP="00806FFB">
            <w:pPr>
              <w:pStyle w:val="ConsPlusNormal"/>
              <w:jc w:val="center"/>
              <w:rPr>
                <w:rFonts w:ascii="Times New Roman" w:hAnsi="Times New Roman" w:cs="Times New Roman"/>
                <w:szCs w:val="22"/>
              </w:rPr>
            </w:pPr>
            <w:proofErr w:type="spellStart"/>
            <w:r w:rsidRPr="000651A1">
              <w:rPr>
                <w:rFonts w:ascii="Times New Roman" w:hAnsi="Times New Roman" w:cs="Times New Roman"/>
                <w:szCs w:val="22"/>
              </w:rPr>
              <w:t>индивидуальный</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предприниматель</w:t>
            </w:r>
            <w:proofErr w:type="spellEnd"/>
          </w:p>
        </w:tc>
        <w:tc>
          <w:tcPr>
            <w:tcW w:w="2437" w:type="dxa"/>
          </w:tcPr>
          <w:p w:rsidR="00806FFB" w:rsidRPr="000651A1" w:rsidRDefault="00806FFB" w:rsidP="00806FFB">
            <w:pPr>
              <w:pStyle w:val="ConsPlusNormal"/>
              <w:jc w:val="center"/>
              <w:rPr>
                <w:rFonts w:ascii="Times New Roman" w:hAnsi="Times New Roman" w:cs="Times New Roman"/>
                <w:szCs w:val="22"/>
              </w:rPr>
            </w:pPr>
            <w:proofErr w:type="spellStart"/>
            <w:r w:rsidRPr="000651A1">
              <w:rPr>
                <w:rFonts w:ascii="Times New Roman" w:hAnsi="Times New Roman" w:cs="Times New Roman"/>
                <w:szCs w:val="22"/>
              </w:rPr>
              <w:t>микроорганизация</w:t>
            </w:r>
            <w:proofErr w:type="spellEnd"/>
          </w:p>
        </w:tc>
        <w:tc>
          <w:tcPr>
            <w:tcW w:w="1700" w:type="dxa"/>
          </w:tcPr>
          <w:p w:rsidR="00806FFB" w:rsidRPr="000651A1" w:rsidRDefault="00806FFB" w:rsidP="00806FFB">
            <w:pPr>
              <w:pStyle w:val="ConsPlusNormal"/>
              <w:jc w:val="center"/>
              <w:rPr>
                <w:rFonts w:ascii="Times New Roman" w:hAnsi="Times New Roman" w:cs="Times New Roman"/>
                <w:szCs w:val="22"/>
              </w:rPr>
            </w:pPr>
            <w:proofErr w:type="spellStart"/>
            <w:r w:rsidRPr="000651A1">
              <w:rPr>
                <w:rFonts w:ascii="Times New Roman" w:hAnsi="Times New Roman" w:cs="Times New Roman"/>
                <w:szCs w:val="22"/>
              </w:rPr>
              <w:t>малая</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организация</w:t>
            </w:r>
            <w:proofErr w:type="spellEnd"/>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2</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Заявители</w:t>
            </w:r>
            <w:proofErr w:type="spellEnd"/>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Клиенты Микро, МБ, СБ с кредитным рейтингом "А+", "А", "А-", "В+", "В", "В-", "С+", "С" либо в отношении которых расчет кредитных рейтингов не производится в соответствии с ЛНПА.</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3</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Цель</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кредита</w:t>
            </w:r>
            <w:proofErr w:type="spellEnd"/>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Финансирование затрат на приобретение (реконструкцию, модернизацию, строительство, капитальный ремонт) основных средств и (или) финансирование затрат на приобретение нематериальных активов (франшизы) для их производственной деятельности или деятельности по оказанию услуг.</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4</w:t>
            </w:r>
          </w:p>
        </w:tc>
        <w:tc>
          <w:tcPr>
            <w:tcW w:w="2211" w:type="dxa"/>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Доля участия собственными средствами в финансировании кредитуемого проекта</w:t>
            </w:r>
          </w:p>
        </w:tc>
        <w:tc>
          <w:tcPr>
            <w:tcW w:w="6404" w:type="dxa"/>
            <w:gridSpan w:val="3"/>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Не</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менее</w:t>
            </w:r>
            <w:proofErr w:type="spellEnd"/>
            <w:r w:rsidRPr="000651A1">
              <w:rPr>
                <w:rFonts w:ascii="Times New Roman" w:hAnsi="Times New Roman" w:cs="Times New Roman"/>
                <w:szCs w:val="22"/>
              </w:rPr>
              <w:t xml:space="preserve"> 20%</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5</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Валюта</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кредита</w:t>
            </w:r>
            <w:proofErr w:type="spellEnd"/>
          </w:p>
        </w:tc>
        <w:tc>
          <w:tcPr>
            <w:tcW w:w="6404" w:type="dxa"/>
            <w:gridSpan w:val="3"/>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Белорусские</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рубли</w:t>
            </w:r>
            <w:proofErr w:type="spellEnd"/>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lastRenderedPageBreak/>
              <w:t>6</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Сумма</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кредита</w:t>
            </w:r>
            <w:proofErr w:type="spellEnd"/>
          </w:p>
        </w:tc>
        <w:tc>
          <w:tcPr>
            <w:tcW w:w="6404" w:type="dxa"/>
            <w:gridSpan w:val="3"/>
          </w:tcPr>
          <w:p w:rsidR="00806FFB" w:rsidRPr="000651A1" w:rsidRDefault="00806FFB" w:rsidP="00806FFB">
            <w:pPr>
              <w:pStyle w:val="ConsPlusNormal"/>
              <w:jc w:val="center"/>
              <w:rPr>
                <w:rFonts w:ascii="Times New Roman" w:hAnsi="Times New Roman" w:cs="Times New Roman"/>
                <w:szCs w:val="22"/>
                <w:lang w:val="ru-RU"/>
              </w:rPr>
            </w:pPr>
            <w:r w:rsidRPr="000651A1">
              <w:rPr>
                <w:rFonts w:ascii="Times New Roman" w:hAnsi="Times New Roman" w:cs="Times New Roman"/>
                <w:szCs w:val="22"/>
                <w:lang w:val="ru-RU"/>
              </w:rPr>
              <w:t>Не более 500 тыс. бел. рублей</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7</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Порядок</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предоставления</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кредита</w:t>
            </w:r>
            <w:proofErr w:type="spellEnd"/>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В безналичном порядке путем перечисления денежных средств на счета третьих лиц в оплату расчетных документов, предоставленных заявителем;</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иным способом в соответствии с законодательством, за исключением зачисления денежных средств на текущий (расчетный) банковский счет заявителя или выдачи заявителю наличных денежных средств.</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8</w:t>
            </w:r>
          </w:p>
        </w:tc>
        <w:tc>
          <w:tcPr>
            <w:tcW w:w="2211" w:type="dxa"/>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Форма</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предоставления</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кредита</w:t>
            </w:r>
            <w:proofErr w:type="spellEnd"/>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proofErr w:type="spellStart"/>
            <w:r w:rsidRPr="000651A1">
              <w:rPr>
                <w:rFonts w:ascii="Times New Roman" w:hAnsi="Times New Roman" w:cs="Times New Roman"/>
                <w:szCs w:val="22"/>
                <w:lang w:val="ru-RU"/>
              </w:rPr>
              <w:t>Невозобновляемая</w:t>
            </w:r>
            <w:proofErr w:type="spellEnd"/>
            <w:r w:rsidRPr="000651A1">
              <w:rPr>
                <w:rFonts w:ascii="Times New Roman" w:hAnsi="Times New Roman" w:cs="Times New Roman"/>
                <w:szCs w:val="22"/>
                <w:lang w:val="ru-RU"/>
              </w:rPr>
              <w:t xml:space="preserve"> кредитная линия (далее - НКЛ).</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Единовременное предоставление кредита (далее - ЕПК).</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9</w:t>
            </w:r>
          </w:p>
        </w:tc>
        <w:tc>
          <w:tcPr>
            <w:tcW w:w="2211" w:type="dxa"/>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Срок полного возврата (погашения) кредита</w:t>
            </w:r>
          </w:p>
        </w:tc>
        <w:tc>
          <w:tcPr>
            <w:tcW w:w="6404" w:type="dxa"/>
            <w:gridSpan w:val="3"/>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До</w:t>
            </w:r>
            <w:proofErr w:type="spellEnd"/>
            <w:r w:rsidRPr="000651A1">
              <w:rPr>
                <w:rFonts w:ascii="Times New Roman" w:hAnsi="Times New Roman" w:cs="Times New Roman"/>
                <w:szCs w:val="22"/>
              </w:rPr>
              <w:t xml:space="preserve"> 5 </w:t>
            </w:r>
            <w:proofErr w:type="spellStart"/>
            <w:r w:rsidRPr="000651A1">
              <w:rPr>
                <w:rFonts w:ascii="Times New Roman" w:hAnsi="Times New Roman" w:cs="Times New Roman"/>
                <w:szCs w:val="22"/>
              </w:rPr>
              <w:t>лет</w:t>
            </w:r>
            <w:proofErr w:type="spellEnd"/>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10</w:t>
            </w:r>
          </w:p>
        </w:tc>
        <w:tc>
          <w:tcPr>
            <w:tcW w:w="2211" w:type="dxa"/>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Размер процентов за пользование кредитом</w:t>
            </w: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2/3 ставки рефинансирования Национального банка Республики Беларусь, увеличенной на 4,5 </w:t>
            </w:r>
            <w:proofErr w:type="spellStart"/>
            <w:r w:rsidRPr="000651A1">
              <w:rPr>
                <w:rFonts w:ascii="Times New Roman" w:hAnsi="Times New Roman" w:cs="Times New Roman"/>
                <w:szCs w:val="22"/>
                <w:lang w:val="ru-RU"/>
              </w:rPr>
              <w:t>п.п</w:t>
            </w:r>
            <w:proofErr w:type="spellEnd"/>
            <w:r w:rsidRPr="000651A1">
              <w:rPr>
                <w:rFonts w:ascii="Times New Roman" w:hAnsi="Times New Roman" w:cs="Times New Roman"/>
                <w:szCs w:val="22"/>
                <w:lang w:val="ru-RU"/>
              </w:rPr>
              <w:t>., но не более расчетной величины стандартного риска по кредитам, выданным корпоративным клиентам, устанавливаемой на ежемесячной основе Национальным Банком Республики Беларусь и действующей на дату заключения кредитного договора.</w:t>
            </w:r>
          </w:p>
        </w:tc>
      </w:tr>
      <w:tr w:rsidR="00806FFB" w:rsidRPr="000651A1" w:rsidTr="00806FFB">
        <w:tc>
          <w:tcPr>
            <w:tcW w:w="453" w:type="dxa"/>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11</w:t>
            </w:r>
          </w:p>
        </w:tc>
        <w:tc>
          <w:tcPr>
            <w:tcW w:w="2211" w:type="dxa"/>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Промежуточные сроки погашения основного долга</w:t>
            </w: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Погашение осуществляется:</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11.1. по ЕПК:</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11.1.1. ежемесячно, начиная с месяца, следующего за месяцем предоставления кредита по кредитному договору, равными частями;</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11.1.2. при наличии обоснования по индивидуальному графику погашения (с учетом сезонности деятельности, сроков реализации готовой продукции, длительности финансового, операционного цикла и др.). При этом допускается установление первого срока платежа по кредиту не позднее 24 месяцев включительно с момента окончания срока предоставления кредита по кредитному договору;</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11.2. по НКЛ;</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11.2.1. ежемесячно, начиная с месяца, следующего за месяцем предоставления первого транша кредита по кредитному договору, равными частями;</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11.2.2. при наличии обоснования по индивидуальному графику погашения (с учетом сезонности деятельности, сроков реализации готовой продукции, длительности финансового, операционного цикла и др.). При этом допускается установление первого срока платежа по кредиту не позднее 24 месяцев включительно с момента окончания срока предоставления кредита по кредитному договору.</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Не допускается установление срока погашения кредита одним платежом в срок полного возврата (погашения) кредита.</w:t>
            </w:r>
          </w:p>
        </w:tc>
      </w:tr>
      <w:tr w:rsidR="00806FFB" w:rsidRPr="000651A1" w:rsidTr="00806FFB">
        <w:tc>
          <w:tcPr>
            <w:tcW w:w="453" w:type="dxa"/>
            <w:vMerge w:val="restart"/>
          </w:tcPr>
          <w:p w:rsidR="00806FFB" w:rsidRPr="000651A1" w:rsidRDefault="00806FFB" w:rsidP="00806FFB">
            <w:pPr>
              <w:pStyle w:val="ConsPlusNormal"/>
              <w:rPr>
                <w:rFonts w:ascii="Times New Roman" w:hAnsi="Times New Roman" w:cs="Times New Roman"/>
                <w:szCs w:val="22"/>
              </w:rPr>
            </w:pPr>
            <w:r w:rsidRPr="000651A1">
              <w:rPr>
                <w:rFonts w:ascii="Times New Roman" w:hAnsi="Times New Roman" w:cs="Times New Roman"/>
                <w:szCs w:val="22"/>
              </w:rPr>
              <w:t>12</w:t>
            </w:r>
          </w:p>
        </w:tc>
        <w:tc>
          <w:tcPr>
            <w:tcW w:w="2211" w:type="dxa"/>
            <w:vMerge w:val="restart"/>
          </w:tcPr>
          <w:p w:rsidR="00806FFB" w:rsidRPr="000651A1" w:rsidRDefault="00806FFB" w:rsidP="00806FFB">
            <w:pPr>
              <w:pStyle w:val="ConsPlusNormal"/>
              <w:rPr>
                <w:rFonts w:ascii="Times New Roman" w:hAnsi="Times New Roman" w:cs="Times New Roman"/>
                <w:szCs w:val="22"/>
              </w:rPr>
            </w:pPr>
            <w:proofErr w:type="spellStart"/>
            <w:r w:rsidRPr="000651A1">
              <w:rPr>
                <w:rFonts w:ascii="Times New Roman" w:hAnsi="Times New Roman" w:cs="Times New Roman"/>
                <w:szCs w:val="22"/>
              </w:rPr>
              <w:t>Дополнительные</w:t>
            </w:r>
            <w:proofErr w:type="spellEnd"/>
            <w:r w:rsidRPr="000651A1">
              <w:rPr>
                <w:rFonts w:ascii="Times New Roman" w:hAnsi="Times New Roman" w:cs="Times New Roman"/>
                <w:szCs w:val="22"/>
              </w:rPr>
              <w:t xml:space="preserve"> </w:t>
            </w:r>
            <w:proofErr w:type="spellStart"/>
            <w:r w:rsidRPr="000651A1">
              <w:rPr>
                <w:rFonts w:ascii="Times New Roman" w:hAnsi="Times New Roman" w:cs="Times New Roman"/>
                <w:szCs w:val="22"/>
              </w:rPr>
              <w:t>условия</w:t>
            </w:r>
            <w:proofErr w:type="spellEnd"/>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12.1. К </w:t>
            </w:r>
            <w:proofErr w:type="spellStart"/>
            <w:r w:rsidRPr="000651A1">
              <w:rPr>
                <w:rFonts w:ascii="Times New Roman" w:hAnsi="Times New Roman" w:cs="Times New Roman"/>
                <w:szCs w:val="22"/>
                <w:lang w:val="ru-RU"/>
              </w:rPr>
              <w:t>стартап</w:t>
            </w:r>
            <w:proofErr w:type="spellEnd"/>
            <w:r w:rsidRPr="000651A1">
              <w:rPr>
                <w:rFonts w:ascii="Times New Roman" w:hAnsi="Times New Roman" w:cs="Times New Roman"/>
                <w:szCs w:val="22"/>
                <w:lang w:val="ru-RU"/>
              </w:rPr>
              <w:t>-компаниям относятся:</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вновь созданные юридические лица или вновь зарегистрированные индивидуальные предприниматели, осуществляющие деятельность менее одного года с момента регистрации (за исключением вновь созданных юридических лиц или вновь зарегистрированных индивидуальных </w:t>
            </w:r>
            <w:r w:rsidRPr="000651A1">
              <w:rPr>
                <w:rFonts w:ascii="Times New Roman" w:hAnsi="Times New Roman" w:cs="Times New Roman"/>
                <w:szCs w:val="22"/>
                <w:lang w:val="ru-RU"/>
              </w:rPr>
              <w:lastRenderedPageBreak/>
              <w:t>предпринимателей, созданных путем реорганизации);</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юридические лица и индивидуальные предприниматели с момента государственной регистрации, которых истек один год, при этом финансово-хозяйственная деятельность до года обращения за финансированием не осуществлялась.</w:t>
            </w:r>
          </w:p>
        </w:tc>
      </w:tr>
      <w:tr w:rsidR="00806FFB" w:rsidRPr="000651A1" w:rsidTr="00806FFB">
        <w:tc>
          <w:tcPr>
            <w:tcW w:w="453" w:type="dxa"/>
            <w:vMerge/>
          </w:tcPr>
          <w:p w:rsidR="00806FFB" w:rsidRPr="000651A1" w:rsidRDefault="00806FFB" w:rsidP="00806FFB">
            <w:pPr>
              <w:rPr>
                <w:sz w:val="22"/>
                <w:szCs w:val="22"/>
              </w:rPr>
            </w:pPr>
          </w:p>
        </w:tc>
        <w:tc>
          <w:tcPr>
            <w:tcW w:w="2211" w:type="dxa"/>
            <w:vMerge/>
          </w:tcPr>
          <w:p w:rsidR="00806FFB" w:rsidRPr="000651A1" w:rsidRDefault="00806FFB" w:rsidP="00806FFB">
            <w:pPr>
              <w:rPr>
                <w:sz w:val="22"/>
                <w:szCs w:val="22"/>
              </w:rPr>
            </w:pP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12.2. Перечень документов, предоставляемых субъектом МСП для рассмотрения вопроса о целесообразности предоставления банковского продукта, в обязательном порядке должен включать обоснование финансовой реализуемости </w:t>
            </w:r>
            <w:proofErr w:type="spellStart"/>
            <w:r w:rsidRPr="000651A1">
              <w:rPr>
                <w:rFonts w:ascii="Times New Roman" w:hAnsi="Times New Roman" w:cs="Times New Roman"/>
                <w:szCs w:val="22"/>
                <w:lang w:val="ru-RU"/>
              </w:rPr>
              <w:t>субпроекта</w:t>
            </w:r>
            <w:proofErr w:type="spellEnd"/>
            <w:r w:rsidRPr="000651A1">
              <w:rPr>
                <w:rFonts w:ascii="Times New Roman" w:hAnsi="Times New Roman" w:cs="Times New Roman"/>
                <w:szCs w:val="22"/>
                <w:lang w:val="ru-RU"/>
              </w:rPr>
              <w:t xml:space="preserve">, содержащее информацию об оценке ожидаемых объемов реализации продукции, работ и услуг (включая описание данной продукции, работ, услуг), которые предполагается производить, выполнять или оказывать по результатам реализации </w:t>
            </w:r>
            <w:proofErr w:type="spellStart"/>
            <w:r w:rsidRPr="000651A1">
              <w:rPr>
                <w:rFonts w:ascii="Times New Roman" w:hAnsi="Times New Roman" w:cs="Times New Roman"/>
                <w:szCs w:val="22"/>
                <w:lang w:val="ru-RU"/>
              </w:rPr>
              <w:t>субпроекта</w:t>
            </w:r>
            <w:proofErr w:type="spellEnd"/>
            <w:r w:rsidRPr="000651A1">
              <w:rPr>
                <w:rFonts w:ascii="Times New Roman" w:hAnsi="Times New Roman" w:cs="Times New Roman"/>
                <w:szCs w:val="22"/>
                <w:lang w:val="ru-RU"/>
              </w:rPr>
              <w:t xml:space="preserve">, потенциальных потребителях, краткое описание </w:t>
            </w:r>
            <w:proofErr w:type="spellStart"/>
            <w:r w:rsidRPr="000651A1">
              <w:rPr>
                <w:rFonts w:ascii="Times New Roman" w:hAnsi="Times New Roman" w:cs="Times New Roman"/>
                <w:szCs w:val="22"/>
                <w:lang w:val="ru-RU"/>
              </w:rPr>
              <w:t>субпроекта</w:t>
            </w:r>
            <w:proofErr w:type="spellEnd"/>
            <w:r w:rsidRPr="000651A1">
              <w:rPr>
                <w:rFonts w:ascii="Times New Roman" w:hAnsi="Times New Roman" w:cs="Times New Roman"/>
                <w:szCs w:val="22"/>
                <w:lang w:val="ru-RU"/>
              </w:rPr>
              <w:t xml:space="preserve"> (цель </w:t>
            </w:r>
            <w:proofErr w:type="spellStart"/>
            <w:r w:rsidRPr="000651A1">
              <w:rPr>
                <w:rFonts w:ascii="Times New Roman" w:hAnsi="Times New Roman" w:cs="Times New Roman"/>
                <w:szCs w:val="22"/>
                <w:lang w:val="ru-RU"/>
              </w:rPr>
              <w:t>субпроекта</w:t>
            </w:r>
            <w:proofErr w:type="spellEnd"/>
            <w:r w:rsidRPr="000651A1">
              <w:rPr>
                <w:rFonts w:ascii="Times New Roman" w:hAnsi="Times New Roman" w:cs="Times New Roman"/>
                <w:szCs w:val="22"/>
                <w:lang w:val="ru-RU"/>
              </w:rPr>
              <w:t xml:space="preserve">, объект финансирования, прогнозируемые объемы реализации (их изменение) продукции, работ, услуг, план по персоналу и прочее); оценку ожидаемых финансовых результатов </w:t>
            </w:r>
            <w:proofErr w:type="spellStart"/>
            <w:r w:rsidRPr="000651A1">
              <w:rPr>
                <w:rFonts w:ascii="Times New Roman" w:hAnsi="Times New Roman" w:cs="Times New Roman"/>
                <w:szCs w:val="22"/>
                <w:lang w:val="ru-RU"/>
              </w:rPr>
              <w:t>субпроекта</w:t>
            </w:r>
            <w:proofErr w:type="spellEnd"/>
            <w:r w:rsidRPr="000651A1">
              <w:rPr>
                <w:rFonts w:ascii="Times New Roman" w:hAnsi="Times New Roman" w:cs="Times New Roman"/>
                <w:szCs w:val="22"/>
                <w:lang w:val="ru-RU"/>
              </w:rPr>
              <w:t xml:space="preserve"> (финансовую информацию, в том числе статьи расходов на </w:t>
            </w:r>
            <w:proofErr w:type="spellStart"/>
            <w:r w:rsidRPr="000651A1">
              <w:rPr>
                <w:rFonts w:ascii="Times New Roman" w:hAnsi="Times New Roman" w:cs="Times New Roman"/>
                <w:szCs w:val="22"/>
                <w:lang w:val="ru-RU"/>
              </w:rPr>
              <w:t>субпроект</w:t>
            </w:r>
            <w:proofErr w:type="spellEnd"/>
            <w:r w:rsidRPr="000651A1">
              <w:rPr>
                <w:rFonts w:ascii="Times New Roman" w:hAnsi="Times New Roman" w:cs="Times New Roman"/>
                <w:szCs w:val="22"/>
                <w:lang w:val="ru-RU"/>
              </w:rPr>
              <w:t xml:space="preserve">, описание дополнительных источников финансирования, обзор прогнозных финансовых показателей </w:t>
            </w:r>
            <w:proofErr w:type="spellStart"/>
            <w:r w:rsidRPr="000651A1">
              <w:rPr>
                <w:rFonts w:ascii="Times New Roman" w:hAnsi="Times New Roman" w:cs="Times New Roman"/>
                <w:szCs w:val="22"/>
                <w:lang w:val="ru-RU"/>
              </w:rPr>
              <w:t>субпроекта</w:t>
            </w:r>
            <w:proofErr w:type="spellEnd"/>
            <w:r w:rsidRPr="000651A1">
              <w:rPr>
                <w:rFonts w:ascii="Times New Roman" w:hAnsi="Times New Roman" w:cs="Times New Roman"/>
                <w:szCs w:val="22"/>
                <w:lang w:val="ru-RU"/>
              </w:rPr>
              <w:t>), а также описание текущей деятельности субъекта МСП (сфера деятельности, опыт производственно-хозяйственной деятельности, текущее финансовое состояние, конкурентные преимущества и прочее).</w:t>
            </w:r>
          </w:p>
        </w:tc>
      </w:tr>
      <w:tr w:rsidR="00806FFB" w:rsidRPr="000651A1" w:rsidTr="00806FFB">
        <w:tc>
          <w:tcPr>
            <w:tcW w:w="453" w:type="dxa"/>
            <w:vMerge/>
          </w:tcPr>
          <w:p w:rsidR="00806FFB" w:rsidRPr="000651A1" w:rsidRDefault="00806FFB" w:rsidP="00806FFB">
            <w:pPr>
              <w:rPr>
                <w:sz w:val="22"/>
                <w:szCs w:val="22"/>
              </w:rPr>
            </w:pPr>
          </w:p>
        </w:tc>
        <w:tc>
          <w:tcPr>
            <w:tcW w:w="2211" w:type="dxa"/>
            <w:vMerge/>
          </w:tcPr>
          <w:p w:rsidR="00806FFB" w:rsidRPr="000651A1" w:rsidRDefault="00806FFB" w:rsidP="00806FFB">
            <w:pPr>
              <w:rPr>
                <w:sz w:val="22"/>
                <w:szCs w:val="22"/>
              </w:rPr>
            </w:pP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12.3. В рамках настоящего банковского продукта запрещается финансирование проектов следующих видов деятельности:</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не относящихся к целевому сегменту МСП;</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производство оружия и (или) военного снаряжения;</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производство и экспорт табачных изделий;</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производство алкогольных напитков;</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сфера игорного бизнеса, лотерейной деятельности, электронных интерактивных игр.</w:t>
            </w:r>
          </w:p>
        </w:tc>
      </w:tr>
      <w:tr w:rsidR="00806FFB" w:rsidRPr="000651A1" w:rsidTr="00806FFB">
        <w:tc>
          <w:tcPr>
            <w:tcW w:w="453" w:type="dxa"/>
            <w:vMerge/>
          </w:tcPr>
          <w:p w:rsidR="00806FFB" w:rsidRPr="000651A1" w:rsidRDefault="00806FFB" w:rsidP="00806FFB">
            <w:pPr>
              <w:rPr>
                <w:sz w:val="22"/>
                <w:szCs w:val="22"/>
              </w:rPr>
            </w:pPr>
          </w:p>
        </w:tc>
        <w:tc>
          <w:tcPr>
            <w:tcW w:w="2211" w:type="dxa"/>
            <w:vMerge/>
          </w:tcPr>
          <w:p w:rsidR="00806FFB" w:rsidRPr="000651A1" w:rsidRDefault="00806FFB" w:rsidP="00806FFB">
            <w:pPr>
              <w:rPr>
                <w:sz w:val="22"/>
                <w:szCs w:val="22"/>
              </w:rPr>
            </w:pP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12.4. Заявитель должен соответствовать Критериям отбора субъектов МСП </w:t>
            </w:r>
            <w:proofErr w:type="gramStart"/>
            <w:r w:rsidRPr="000651A1">
              <w:rPr>
                <w:rFonts w:ascii="Times New Roman" w:hAnsi="Times New Roman" w:cs="Times New Roman"/>
                <w:szCs w:val="22"/>
                <w:lang w:val="ru-RU"/>
              </w:rPr>
              <w:t>для получения кредита в соответствии с Генеральным соглашением о порядке взаимодействия в рамках</w:t>
            </w:r>
            <w:proofErr w:type="gramEnd"/>
            <w:r w:rsidRPr="000651A1">
              <w:rPr>
                <w:rFonts w:ascii="Times New Roman" w:hAnsi="Times New Roman" w:cs="Times New Roman"/>
                <w:szCs w:val="22"/>
                <w:lang w:val="ru-RU"/>
              </w:rPr>
              <w:t xml:space="preserve"> финансирования субъектов малого и среднего предпринимательства от 07.02.2019 </w:t>
            </w:r>
            <w:r w:rsidRPr="000651A1">
              <w:rPr>
                <w:rFonts w:ascii="Times New Roman" w:hAnsi="Times New Roman" w:cs="Times New Roman"/>
                <w:szCs w:val="22"/>
              </w:rPr>
              <w:t>N</w:t>
            </w:r>
            <w:r w:rsidRPr="000651A1">
              <w:rPr>
                <w:rFonts w:ascii="Times New Roman" w:hAnsi="Times New Roman" w:cs="Times New Roman"/>
                <w:szCs w:val="22"/>
                <w:lang w:val="ru-RU"/>
              </w:rPr>
              <w:t xml:space="preserve"> 3, заключенным ОАО "</w:t>
            </w:r>
            <w:proofErr w:type="spellStart"/>
            <w:r w:rsidRPr="000651A1">
              <w:rPr>
                <w:rFonts w:ascii="Times New Roman" w:hAnsi="Times New Roman" w:cs="Times New Roman"/>
                <w:szCs w:val="22"/>
                <w:lang w:val="ru-RU"/>
              </w:rPr>
              <w:t>Белагропромбанк</w:t>
            </w:r>
            <w:proofErr w:type="spellEnd"/>
            <w:r w:rsidRPr="000651A1">
              <w:rPr>
                <w:rFonts w:ascii="Times New Roman" w:hAnsi="Times New Roman" w:cs="Times New Roman"/>
                <w:szCs w:val="22"/>
                <w:lang w:val="ru-RU"/>
              </w:rPr>
              <w:t>" и ОАО "Банк развития Республики Беларусь", по программе "</w:t>
            </w:r>
            <w:proofErr w:type="spellStart"/>
            <w:r w:rsidRPr="000651A1">
              <w:rPr>
                <w:rFonts w:ascii="Times New Roman" w:hAnsi="Times New Roman" w:cs="Times New Roman"/>
                <w:szCs w:val="22"/>
                <w:lang w:val="ru-RU"/>
              </w:rPr>
              <w:t>Стартап</w:t>
            </w:r>
            <w:proofErr w:type="spellEnd"/>
            <w:r w:rsidRPr="000651A1">
              <w:rPr>
                <w:rFonts w:ascii="Times New Roman" w:hAnsi="Times New Roman" w:cs="Times New Roman"/>
                <w:szCs w:val="22"/>
                <w:lang w:val="ru-RU"/>
              </w:rPr>
              <w:t xml:space="preserve">-компании", приведенным в </w:t>
            </w:r>
            <w:hyperlink r:id="rId8" w:history="1">
              <w:r w:rsidRPr="000651A1">
                <w:rPr>
                  <w:rFonts w:ascii="Times New Roman" w:hAnsi="Times New Roman" w:cs="Times New Roman"/>
                  <w:color w:val="0000FF"/>
                  <w:szCs w:val="22"/>
                  <w:lang w:val="ru-RU"/>
                </w:rPr>
                <w:t>приложении 3</w:t>
              </w:r>
            </w:hyperlink>
            <w:r w:rsidRPr="000651A1">
              <w:rPr>
                <w:rFonts w:ascii="Times New Roman" w:hAnsi="Times New Roman" w:cs="Times New Roman"/>
                <w:szCs w:val="22"/>
                <w:lang w:val="ru-RU"/>
              </w:rPr>
              <w:t xml:space="preserve"> к Условиям.</w:t>
            </w:r>
          </w:p>
        </w:tc>
      </w:tr>
      <w:tr w:rsidR="00806FFB" w:rsidRPr="000651A1" w:rsidTr="00806FFB">
        <w:tc>
          <w:tcPr>
            <w:tcW w:w="453" w:type="dxa"/>
            <w:vMerge/>
          </w:tcPr>
          <w:p w:rsidR="00806FFB" w:rsidRPr="000651A1" w:rsidRDefault="00806FFB" w:rsidP="00806FFB">
            <w:pPr>
              <w:rPr>
                <w:sz w:val="22"/>
                <w:szCs w:val="22"/>
              </w:rPr>
            </w:pPr>
          </w:p>
        </w:tc>
        <w:tc>
          <w:tcPr>
            <w:tcW w:w="2211" w:type="dxa"/>
            <w:vMerge/>
          </w:tcPr>
          <w:p w:rsidR="00806FFB" w:rsidRPr="000651A1" w:rsidRDefault="00806FFB" w:rsidP="00806FFB">
            <w:pPr>
              <w:rPr>
                <w:sz w:val="22"/>
                <w:szCs w:val="22"/>
              </w:rPr>
            </w:pP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12.5. В рамках настоящего продукта запрещается финансирование субъектов МСП если:</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12.5.1. 25% и более его уставного фонда принадлежит юридическому лицу, средняя численность работников за предыдущий календарный год которого превышает 100 человек, и объем выручки от реализации продукции, товаров, работ, услуг (без учета НДС) за предыдущий календарный год превышает предельное значение, ежегодно устанавливаемое нормативными правовыми актами государственных органов Республики Беларусь для малых организаций, обратившихся за оказанием государственной финансовой поддержки;</w:t>
            </w:r>
          </w:p>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12.5.2. 25% и более его уставного фонда принадлежит физическому лицу, которое является владельцем 25 и более </w:t>
            </w:r>
            <w:r w:rsidRPr="000651A1">
              <w:rPr>
                <w:rFonts w:ascii="Times New Roman" w:hAnsi="Times New Roman" w:cs="Times New Roman"/>
                <w:szCs w:val="22"/>
                <w:lang w:val="ru-RU"/>
              </w:rPr>
              <w:lastRenderedPageBreak/>
              <w:t>процентов акций (долей, паев) другого юридического лица, средняя численность работников за предыдущий календарный год которого превышает 100 человек, и объем выручки от реализации продукции, товаров, работ, услуг (без учета НДС) за предыдущий календарный год превышает предельное значение, ежегодно устанавливаемое нормативными правовыми актами государственных органов Республики Беларусь для малых организаций, обратившихся за оказанием государственной финансовой поддержки.</w:t>
            </w:r>
          </w:p>
        </w:tc>
      </w:tr>
      <w:tr w:rsidR="00806FFB" w:rsidRPr="000651A1" w:rsidTr="00806FFB">
        <w:tc>
          <w:tcPr>
            <w:tcW w:w="453" w:type="dxa"/>
            <w:vMerge/>
          </w:tcPr>
          <w:p w:rsidR="00806FFB" w:rsidRPr="000651A1" w:rsidRDefault="00806FFB" w:rsidP="00806FFB">
            <w:pPr>
              <w:rPr>
                <w:sz w:val="22"/>
                <w:szCs w:val="22"/>
              </w:rPr>
            </w:pPr>
          </w:p>
        </w:tc>
        <w:tc>
          <w:tcPr>
            <w:tcW w:w="2211" w:type="dxa"/>
            <w:vMerge/>
          </w:tcPr>
          <w:p w:rsidR="00806FFB" w:rsidRPr="000651A1" w:rsidRDefault="00806FFB" w:rsidP="00806FFB">
            <w:pPr>
              <w:rPr>
                <w:sz w:val="22"/>
                <w:szCs w:val="22"/>
              </w:rPr>
            </w:pPr>
          </w:p>
        </w:tc>
        <w:tc>
          <w:tcPr>
            <w:tcW w:w="6404" w:type="dxa"/>
            <w:gridSpan w:val="3"/>
          </w:tcPr>
          <w:p w:rsidR="00806FFB" w:rsidRPr="000651A1" w:rsidRDefault="00806FFB" w:rsidP="00806FFB">
            <w:pPr>
              <w:pStyle w:val="ConsPlusNormal"/>
              <w:rPr>
                <w:rFonts w:ascii="Times New Roman" w:hAnsi="Times New Roman" w:cs="Times New Roman"/>
                <w:szCs w:val="22"/>
                <w:lang w:val="ru-RU"/>
              </w:rPr>
            </w:pPr>
            <w:r w:rsidRPr="000651A1">
              <w:rPr>
                <w:rFonts w:ascii="Times New Roman" w:hAnsi="Times New Roman" w:cs="Times New Roman"/>
                <w:szCs w:val="22"/>
                <w:lang w:val="ru-RU"/>
              </w:rPr>
              <w:t xml:space="preserve">12.6. В рамках настоящего банковского продукта должен соблюдаться </w:t>
            </w:r>
            <w:proofErr w:type="spellStart"/>
            <w:r w:rsidRPr="000651A1">
              <w:rPr>
                <w:rFonts w:ascii="Times New Roman" w:hAnsi="Times New Roman" w:cs="Times New Roman"/>
                <w:szCs w:val="22"/>
                <w:lang w:val="ru-RU"/>
              </w:rPr>
              <w:t>ковенант</w:t>
            </w:r>
            <w:proofErr w:type="spellEnd"/>
            <w:r w:rsidRPr="000651A1">
              <w:rPr>
                <w:rFonts w:ascii="Times New Roman" w:hAnsi="Times New Roman" w:cs="Times New Roman"/>
                <w:szCs w:val="22"/>
                <w:lang w:val="ru-RU"/>
              </w:rPr>
              <w:t xml:space="preserve"> 1 "Обязательство клиента обеспечить достаточность поступлений на счета клиента, открытые в Банке" в соответствии с ЛНПА, регламентирующим применение </w:t>
            </w:r>
            <w:proofErr w:type="spellStart"/>
            <w:r w:rsidRPr="000651A1">
              <w:rPr>
                <w:rFonts w:ascii="Times New Roman" w:hAnsi="Times New Roman" w:cs="Times New Roman"/>
                <w:szCs w:val="22"/>
                <w:lang w:val="ru-RU"/>
              </w:rPr>
              <w:t>ковенантов</w:t>
            </w:r>
            <w:proofErr w:type="spellEnd"/>
            <w:r w:rsidRPr="000651A1">
              <w:rPr>
                <w:rFonts w:ascii="Times New Roman" w:hAnsi="Times New Roman" w:cs="Times New Roman"/>
                <w:szCs w:val="22"/>
                <w:lang w:val="ru-RU"/>
              </w:rPr>
              <w:t xml:space="preserve"> при осуществлении активных операций с корпоративными клиентами.</w:t>
            </w:r>
          </w:p>
        </w:tc>
      </w:tr>
    </w:tbl>
    <w:p w:rsidR="00806FFB" w:rsidRPr="000651A1" w:rsidRDefault="00806FFB" w:rsidP="00806FFB">
      <w:pPr>
        <w:pStyle w:val="ConsPlusNormal"/>
        <w:jc w:val="both"/>
        <w:rPr>
          <w:rFonts w:ascii="Times New Roman" w:hAnsi="Times New Roman" w:cs="Times New Roman"/>
          <w:szCs w:val="22"/>
          <w:lang w:val="ru-RU"/>
        </w:rPr>
      </w:pPr>
    </w:p>
    <w:p w:rsidR="00806FFB" w:rsidRPr="00ED23F4" w:rsidRDefault="00806FFB" w:rsidP="00ED23F4">
      <w:pPr>
        <w:autoSpaceDE w:val="0"/>
        <w:autoSpaceDN w:val="0"/>
        <w:adjustRightInd w:val="0"/>
        <w:spacing w:line="280" w:lineRule="exact"/>
        <w:ind w:left="5670"/>
        <w:jc w:val="both"/>
        <w:rPr>
          <w:color w:val="000000"/>
          <w:sz w:val="28"/>
          <w:szCs w:val="28"/>
        </w:rPr>
      </w:pPr>
    </w:p>
    <w:p w:rsidR="00E66A5F" w:rsidRDefault="00E66A5F" w:rsidP="00ED23F4">
      <w:pPr>
        <w:rPr>
          <w:b/>
          <w:i/>
          <w:sz w:val="30"/>
          <w:szCs w:val="30"/>
        </w:rPr>
      </w:pPr>
      <w:r>
        <w:rPr>
          <w:sz w:val="30"/>
          <w:szCs w:val="30"/>
        </w:rPr>
        <w:t xml:space="preserve">С уважением, </w:t>
      </w:r>
    </w:p>
    <w:p w:rsidR="00E66A5F" w:rsidRDefault="001E7085" w:rsidP="001E7085">
      <w:pPr>
        <w:tabs>
          <w:tab w:val="left" w:pos="6804"/>
        </w:tabs>
        <w:spacing w:line="280" w:lineRule="exact"/>
        <w:rPr>
          <w:sz w:val="30"/>
          <w:szCs w:val="30"/>
        </w:rPr>
      </w:pPr>
      <w:r>
        <w:rPr>
          <w:sz w:val="30"/>
          <w:szCs w:val="30"/>
        </w:rPr>
        <w:t>Начальник ЦБУ №620</w:t>
      </w:r>
    </w:p>
    <w:p w:rsidR="00E66A5F" w:rsidRDefault="001E7085" w:rsidP="001E7085">
      <w:pPr>
        <w:tabs>
          <w:tab w:val="left" w:pos="6804"/>
        </w:tabs>
        <w:spacing w:line="280" w:lineRule="exact"/>
        <w:rPr>
          <w:sz w:val="30"/>
          <w:szCs w:val="30"/>
          <w:lang w:eastAsia="en-US"/>
        </w:rPr>
      </w:pPr>
      <w:r>
        <w:rPr>
          <w:sz w:val="30"/>
          <w:szCs w:val="30"/>
        </w:rPr>
        <w:t xml:space="preserve">в </w:t>
      </w:r>
      <w:proofErr w:type="spellStart"/>
      <w:r>
        <w:rPr>
          <w:sz w:val="30"/>
          <w:szCs w:val="30"/>
        </w:rPr>
        <w:t>г.Чаусы</w:t>
      </w:r>
      <w:proofErr w:type="spellEnd"/>
      <w:r w:rsidR="00E66A5F">
        <w:rPr>
          <w:sz w:val="30"/>
          <w:szCs w:val="30"/>
        </w:rPr>
        <w:t xml:space="preserve">                                                     </w:t>
      </w:r>
      <w:r>
        <w:rPr>
          <w:sz w:val="30"/>
          <w:szCs w:val="30"/>
        </w:rPr>
        <w:t xml:space="preserve">                       Андрияшева</w:t>
      </w:r>
      <w:r w:rsidR="00E66A5F">
        <w:rPr>
          <w:sz w:val="30"/>
          <w:szCs w:val="30"/>
        </w:rPr>
        <w:t xml:space="preserve"> </w:t>
      </w:r>
      <w:r>
        <w:rPr>
          <w:sz w:val="30"/>
          <w:szCs w:val="30"/>
        </w:rPr>
        <w:t>О</w:t>
      </w:r>
      <w:r w:rsidR="00E66A5F">
        <w:rPr>
          <w:sz w:val="30"/>
          <w:szCs w:val="30"/>
        </w:rPr>
        <w:t>.</w:t>
      </w:r>
      <w:r>
        <w:rPr>
          <w:sz w:val="30"/>
          <w:szCs w:val="30"/>
        </w:rPr>
        <w:t>В</w:t>
      </w:r>
      <w:r w:rsidR="00E66A5F">
        <w:rPr>
          <w:sz w:val="30"/>
          <w:szCs w:val="30"/>
        </w:rPr>
        <w:t>.</w:t>
      </w:r>
    </w:p>
    <w:p w:rsidR="001E7085" w:rsidRDefault="001E7085" w:rsidP="00E66A5F">
      <w:pPr>
        <w:pStyle w:val="a9"/>
      </w:pPr>
      <w:r>
        <w:rPr>
          <w:sz w:val="18"/>
          <w:szCs w:val="18"/>
        </w:rPr>
        <w:t>+375</w:t>
      </w:r>
      <w:r w:rsidR="00E66A5F">
        <w:rPr>
          <w:sz w:val="18"/>
          <w:szCs w:val="18"/>
        </w:rPr>
        <w:t>(29)</w:t>
      </w:r>
      <w:r>
        <w:rPr>
          <w:sz w:val="18"/>
          <w:szCs w:val="18"/>
        </w:rPr>
        <w:t>623</w:t>
      </w:r>
      <w:r w:rsidR="00E66A5F">
        <w:rPr>
          <w:sz w:val="18"/>
          <w:szCs w:val="18"/>
        </w:rPr>
        <w:t xml:space="preserve"> </w:t>
      </w:r>
      <w:r>
        <w:rPr>
          <w:sz w:val="18"/>
          <w:szCs w:val="18"/>
        </w:rPr>
        <w:t>40</w:t>
      </w:r>
      <w:r w:rsidR="00E66A5F">
        <w:rPr>
          <w:sz w:val="18"/>
          <w:szCs w:val="18"/>
        </w:rPr>
        <w:t xml:space="preserve"> </w:t>
      </w:r>
      <w:r>
        <w:rPr>
          <w:sz w:val="18"/>
          <w:szCs w:val="18"/>
        </w:rPr>
        <w:t>8</w:t>
      </w:r>
      <w:r w:rsidR="00E66A5F">
        <w:rPr>
          <w:sz w:val="18"/>
          <w:szCs w:val="18"/>
        </w:rPr>
        <w:t>6</w:t>
      </w:r>
      <w:r>
        <w:rPr>
          <w:sz w:val="18"/>
          <w:szCs w:val="18"/>
        </w:rPr>
        <w:t>, 02242 7 62 60</w:t>
      </w:r>
    </w:p>
    <w:p w:rsidR="00060B7E" w:rsidRPr="00D77A1B" w:rsidRDefault="00060B7E" w:rsidP="00150346">
      <w:pPr>
        <w:autoSpaceDE w:val="0"/>
        <w:autoSpaceDN w:val="0"/>
        <w:adjustRightInd w:val="0"/>
        <w:ind w:firstLine="709"/>
        <w:jc w:val="both"/>
        <w:rPr>
          <w:sz w:val="28"/>
          <w:szCs w:val="28"/>
        </w:rPr>
      </w:pPr>
    </w:p>
    <w:sectPr w:rsidR="00060B7E" w:rsidRPr="00D77A1B" w:rsidSect="006F45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768D0"/>
    <w:multiLevelType w:val="hybridMultilevel"/>
    <w:tmpl w:val="6D0E1B3C"/>
    <w:lvl w:ilvl="0" w:tplc="326A6092">
      <w:start w:val="1"/>
      <w:numFmt w:val="decimal"/>
      <w:lvlText w:val="%1."/>
      <w:lvlJc w:val="left"/>
      <w:pPr>
        <w:tabs>
          <w:tab w:val="num" w:pos="720"/>
        </w:tabs>
        <w:ind w:left="720" w:hanging="360"/>
      </w:pPr>
    </w:lvl>
    <w:lvl w:ilvl="1" w:tplc="222091B8" w:tentative="1">
      <w:start w:val="1"/>
      <w:numFmt w:val="decimal"/>
      <w:lvlText w:val="%2."/>
      <w:lvlJc w:val="left"/>
      <w:pPr>
        <w:tabs>
          <w:tab w:val="num" w:pos="1440"/>
        </w:tabs>
        <w:ind w:left="1440" w:hanging="360"/>
      </w:pPr>
    </w:lvl>
    <w:lvl w:ilvl="2" w:tplc="B6ECEF02" w:tentative="1">
      <w:start w:val="1"/>
      <w:numFmt w:val="decimal"/>
      <w:lvlText w:val="%3."/>
      <w:lvlJc w:val="left"/>
      <w:pPr>
        <w:tabs>
          <w:tab w:val="num" w:pos="2160"/>
        </w:tabs>
        <w:ind w:left="2160" w:hanging="360"/>
      </w:pPr>
    </w:lvl>
    <w:lvl w:ilvl="3" w:tplc="DCBCD74E" w:tentative="1">
      <w:start w:val="1"/>
      <w:numFmt w:val="decimal"/>
      <w:lvlText w:val="%4."/>
      <w:lvlJc w:val="left"/>
      <w:pPr>
        <w:tabs>
          <w:tab w:val="num" w:pos="2880"/>
        </w:tabs>
        <w:ind w:left="2880" w:hanging="360"/>
      </w:pPr>
    </w:lvl>
    <w:lvl w:ilvl="4" w:tplc="6E7059FC" w:tentative="1">
      <w:start w:val="1"/>
      <w:numFmt w:val="decimal"/>
      <w:lvlText w:val="%5."/>
      <w:lvlJc w:val="left"/>
      <w:pPr>
        <w:tabs>
          <w:tab w:val="num" w:pos="3600"/>
        </w:tabs>
        <w:ind w:left="3600" w:hanging="360"/>
      </w:pPr>
    </w:lvl>
    <w:lvl w:ilvl="5" w:tplc="AE8A7190" w:tentative="1">
      <w:start w:val="1"/>
      <w:numFmt w:val="decimal"/>
      <w:lvlText w:val="%6."/>
      <w:lvlJc w:val="left"/>
      <w:pPr>
        <w:tabs>
          <w:tab w:val="num" w:pos="4320"/>
        </w:tabs>
        <w:ind w:left="4320" w:hanging="360"/>
      </w:pPr>
    </w:lvl>
    <w:lvl w:ilvl="6" w:tplc="1CFC2F06" w:tentative="1">
      <w:start w:val="1"/>
      <w:numFmt w:val="decimal"/>
      <w:lvlText w:val="%7."/>
      <w:lvlJc w:val="left"/>
      <w:pPr>
        <w:tabs>
          <w:tab w:val="num" w:pos="5040"/>
        </w:tabs>
        <w:ind w:left="5040" w:hanging="360"/>
      </w:pPr>
    </w:lvl>
    <w:lvl w:ilvl="7" w:tplc="456CBCF0" w:tentative="1">
      <w:start w:val="1"/>
      <w:numFmt w:val="decimal"/>
      <w:lvlText w:val="%8."/>
      <w:lvlJc w:val="left"/>
      <w:pPr>
        <w:tabs>
          <w:tab w:val="num" w:pos="5760"/>
        </w:tabs>
        <w:ind w:left="5760" w:hanging="360"/>
      </w:pPr>
    </w:lvl>
    <w:lvl w:ilvl="8" w:tplc="D3B8E3B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42"/>
    <w:rsid w:val="0000233C"/>
    <w:rsid w:val="000031DC"/>
    <w:rsid w:val="00007B64"/>
    <w:rsid w:val="00011AC7"/>
    <w:rsid w:val="00012C58"/>
    <w:rsid w:val="00060B7E"/>
    <w:rsid w:val="00083EE3"/>
    <w:rsid w:val="000961FB"/>
    <w:rsid w:val="000A689F"/>
    <w:rsid w:val="000B365B"/>
    <w:rsid w:val="000B73BE"/>
    <w:rsid w:val="000E0B48"/>
    <w:rsid w:val="0010510C"/>
    <w:rsid w:val="00123362"/>
    <w:rsid w:val="0012467B"/>
    <w:rsid w:val="00147E0E"/>
    <w:rsid w:val="00150346"/>
    <w:rsid w:val="00151526"/>
    <w:rsid w:val="001560D2"/>
    <w:rsid w:val="00157A54"/>
    <w:rsid w:val="001610E6"/>
    <w:rsid w:val="0016185C"/>
    <w:rsid w:val="00170F14"/>
    <w:rsid w:val="001713CF"/>
    <w:rsid w:val="00175FBB"/>
    <w:rsid w:val="00193D67"/>
    <w:rsid w:val="001E7085"/>
    <w:rsid w:val="001F3740"/>
    <w:rsid w:val="00207E34"/>
    <w:rsid w:val="00210293"/>
    <w:rsid w:val="00214D2B"/>
    <w:rsid w:val="002210B5"/>
    <w:rsid w:val="00223348"/>
    <w:rsid w:val="00223A36"/>
    <w:rsid w:val="002242BF"/>
    <w:rsid w:val="002718B2"/>
    <w:rsid w:val="002812B1"/>
    <w:rsid w:val="0029202D"/>
    <w:rsid w:val="00293790"/>
    <w:rsid w:val="002C1E9B"/>
    <w:rsid w:val="002C2273"/>
    <w:rsid w:val="002C2801"/>
    <w:rsid w:val="002C4545"/>
    <w:rsid w:val="002C4E82"/>
    <w:rsid w:val="002D37D2"/>
    <w:rsid w:val="002E0493"/>
    <w:rsid w:val="002F3121"/>
    <w:rsid w:val="002F3E74"/>
    <w:rsid w:val="002F453C"/>
    <w:rsid w:val="002F5E3D"/>
    <w:rsid w:val="002F7F23"/>
    <w:rsid w:val="00305654"/>
    <w:rsid w:val="00310EC6"/>
    <w:rsid w:val="003213F4"/>
    <w:rsid w:val="003311DB"/>
    <w:rsid w:val="003346B8"/>
    <w:rsid w:val="00342D8F"/>
    <w:rsid w:val="00345778"/>
    <w:rsid w:val="003512C9"/>
    <w:rsid w:val="00352412"/>
    <w:rsid w:val="003528EF"/>
    <w:rsid w:val="00383CD0"/>
    <w:rsid w:val="00385B08"/>
    <w:rsid w:val="0039040C"/>
    <w:rsid w:val="003A21A5"/>
    <w:rsid w:val="003A430A"/>
    <w:rsid w:val="003B2D59"/>
    <w:rsid w:val="003B3486"/>
    <w:rsid w:val="003C13B0"/>
    <w:rsid w:val="003C49F7"/>
    <w:rsid w:val="003F1941"/>
    <w:rsid w:val="003F232B"/>
    <w:rsid w:val="003F44D5"/>
    <w:rsid w:val="003F7376"/>
    <w:rsid w:val="00412B85"/>
    <w:rsid w:val="004321EB"/>
    <w:rsid w:val="00434896"/>
    <w:rsid w:val="00441231"/>
    <w:rsid w:val="0044467E"/>
    <w:rsid w:val="00453BC8"/>
    <w:rsid w:val="0045714D"/>
    <w:rsid w:val="004611C0"/>
    <w:rsid w:val="00465FF5"/>
    <w:rsid w:val="00481C33"/>
    <w:rsid w:val="004A0186"/>
    <w:rsid w:val="004A474C"/>
    <w:rsid w:val="004B2164"/>
    <w:rsid w:val="004B44EC"/>
    <w:rsid w:val="004B57E5"/>
    <w:rsid w:val="004B6A79"/>
    <w:rsid w:val="004C7E51"/>
    <w:rsid w:val="004D64B6"/>
    <w:rsid w:val="004E3ACB"/>
    <w:rsid w:val="004F30C8"/>
    <w:rsid w:val="004F5746"/>
    <w:rsid w:val="00500CE2"/>
    <w:rsid w:val="005128C2"/>
    <w:rsid w:val="00514598"/>
    <w:rsid w:val="005264D4"/>
    <w:rsid w:val="00526529"/>
    <w:rsid w:val="0053296B"/>
    <w:rsid w:val="00541DB9"/>
    <w:rsid w:val="00557CE0"/>
    <w:rsid w:val="005B1115"/>
    <w:rsid w:val="005B1ADE"/>
    <w:rsid w:val="005C6BDE"/>
    <w:rsid w:val="005D2DD5"/>
    <w:rsid w:val="005E3AA3"/>
    <w:rsid w:val="005F0156"/>
    <w:rsid w:val="00604B18"/>
    <w:rsid w:val="00605586"/>
    <w:rsid w:val="00611606"/>
    <w:rsid w:val="00622FC1"/>
    <w:rsid w:val="006236EC"/>
    <w:rsid w:val="00632392"/>
    <w:rsid w:val="006328F2"/>
    <w:rsid w:val="0063328D"/>
    <w:rsid w:val="0064323C"/>
    <w:rsid w:val="00643609"/>
    <w:rsid w:val="00656126"/>
    <w:rsid w:val="00690E9C"/>
    <w:rsid w:val="00697F5A"/>
    <w:rsid w:val="006A1CEB"/>
    <w:rsid w:val="006A54B2"/>
    <w:rsid w:val="006B55DC"/>
    <w:rsid w:val="006D0F57"/>
    <w:rsid w:val="006F3B7F"/>
    <w:rsid w:val="006F45E0"/>
    <w:rsid w:val="00701D54"/>
    <w:rsid w:val="00714259"/>
    <w:rsid w:val="0071795C"/>
    <w:rsid w:val="007341EA"/>
    <w:rsid w:val="00761E82"/>
    <w:rsid w:val="00762D69"/>
    <w:rsid w:val="007733B8"/>
    <w:rsid w:val="00774C48"/>
    <w:rsid w:val="0078005D"/>
    <w:rsid w:val="00782DED"/>
    <w:rsid w:val="007B3DBB"/>
    <w:rsid w:val="007D2C3A"/>
    <w:rsid w:val="007E12C2"/>
    <w:rsid w:val="007E6CD0"/>
    <w:rsid w:val="007F0535"/>
    <w:rsid w:val="007F14C4"/>
    <w:rsid w:val="007F2BD0"/>
    <w:rsid w:val="007F4894"/>
    <w:rsid w:val="00801C17"/>
    <w:rsid w:val="00806FFB"/>
    <w:rsid w:val="00817BE7"/>
    <w:rsid w:val="00825917"/>
    <w:rsid w:val="00850749"/>
    <w:rsid w:val="0086080D"/>
    <w:rsid w:val="008617D5"/>
    <w:rsid w:val="0089575B"/>
    <w:rsid w:val="008A494B"/>
    <w:rsid w:val="008B179D"/>
    <w:rsid w:val="008D05DA"/>
    <w:rsid w:val="008D2F38"/>
    <w:rsid w:val="008E4221"/>
    <w:rsid w:val="00900706"/>
    <w:rsid w:val="009045E4"/>
    <w:rsid w:val="00907622"/>
    <w:rsid w:val="00925B53"/>
    <w:rsid w:val="009371DC"/>
    <w:rsid w:val="00940DC4"/>
    <w:rsid w:val="009653A7"/>
    <w:rsid w:val="00992EE2"/>
    <w:rsid w:val="009C3530"/>
    <w:rsid w:val="009D20E0"/>
    <w:rsid w:val="009D5DF0"/>
    <w:rsid w:val="009E7407"/>
    <w:rsid w:val="00A3394C"/>
    <w:rsid w:val="00A43D04"/>
    <w:rsid w:val="00A527BD"/>
    <w:rsid w:val="00A74A0B"/>
    <w:rsid w:val="00A80BC6"/>
    <w:rsid w:val="00AA63F1"/>
    <w:rsid w:val="00AB4A04"/>
    <w:rsid w:val="00AB5366"/>
    <w:rsid w:val="00AB72C3"/>
    <w:rsid w:val="00AE71F7"/>
    <w:rsid w:val="00AE7D22"/>
    <w:rsid w:val="00AF076F"/>
    <w:rsid w:val="00AF3EAD"/>
    <w:rsid w:val="00B13EDC"/>
    <w:rsid w:val="00B31D05"/>
    <w:rsid w:val="00B3210A"/>
    <w:rsid w:val="00B33F4A"/>
    <w:rsid w:val="00B45344"/>
    <w:rsid w:val="00B57852"/>
    <w:rsid w:val="00B740D2"/>
    <w:rsid w:val="00B74DD8"/>
    <w:rsid w:val="00B8577E"/>
    <w:rsid w:val="00B94366"/>
    <w:rsid w:val="00BA25FC"/>
    <w:rsid w:val="00BA273B"/>
    <w:rsid w:val="00BA31D5"/>
    <w:rsid w:val="00BA7DE5"/>
    <w:rsid w:val="00BC2C7E"/>
    <w:rsid w:val="00BF3493"/>
    <w:rsid w:val="00BF7DBC"/>
    <w:rsid w:val="00C0004B"/>
    <w:rsid w:val="00C00AB2"/>
    <w:rsid w:val="00C11945"/>
    <w:rsid w:val="00C17F89"/>
    <w:rsid w:val="00C35CFB"/>
    <w:rsid w:val="00C51EDE"/>
    <w:rsid w:val="00C667F5"/>
    <w:rsid w:val="00C66FBB"/>
    <w:rsid w:val="00C67026"/>
    <w:rsid w:val="00C76BB6"/>
    <w:rsid w:val="00C910C4"/>
    <w:rsid w:val="00CA621A"/>
    <w:rsid w:val="00CB7155"/>
    <w:rsid w:val="00CD1042"/>
    <w:rsid w:val="00CE072F"/>
    <w:rsid w:val="00CE1871"/>
    <w:rsid w:val="00CE326E"/>
    <w:rsid w:val="00CE4A22"/>
    <w:rsid w:val="00CE503A"/>
    <w:rsid w:val="00D161AC"/>
    <w:rsid w:val="00D20438"/>
    <w:rsid w:val="00D35E27"/>
    <w:rsid w:val="00D35E71"/>
    <w:rsid w:val="00D6263B"/>
    <w:rsid w:val="00D72EF7"/>
    <w:rsid w:val="00D77A1B"/>
    <w:rsid w:val="00D77D8B"/>
    <w:rsid w:val="00D81449"/>
    <w:rsid w:val="00D87F42"/>
    <w:rsid w:val="00D91922"/>
    <w:rsid w:val="00DA25DC"/>
    <w:rsid w:val="00DB05CE"/>
    <w:rsid w:val="00DC1082"/>
    <w:rsid w:val="00DC11B2"/>
    <w:rsid w:val="00DD3102"/>
    <w:rsid w:val="00DE123A"/>
    <w:rsid w:val="00E01F81"/>
    <w:rsid w:val="00E14A48"/>
    <w:rsid w:val="00E15772"/>
    <w:rsid w:val="00E16C64"/>
    <w:rsid w:val="00E66A5F"/>
    <w:rsid w:val="00E718C8"/>
    <w:rsid w:val="00E835E5"/>
    <w:rsid w:val="00EC16C7"/>
    <w:rsid w:val="00ED23F4"/>
    <w:rsid w:val="00ED4AC0"/>
    <w:rsid w:val="00EE4B7D"/>
    <w:rsid w:val="00EF5B73"/>
    <w:rsid w:val="00F070BC"/>
    <w:rsid w:val="00F1618B"/>
    <w:rsid w:val="00F27A03"/>
    <w:rsid w:val="00F40F60"/>
    <w:rsid w:val="00F41EA0"/>
    <w:rsid w:val="00F529D3"/>
    <w:rsid w:val="00F52E76"/>
    <w:rsid w:val="00F56904"/>
    <w:rsid w:val="00F60FD4"/>
    <w:rsid w:val="00F7791D"/>
    <w:rsid w:val="00F96DB8"/>
    <w:rsid w:val="00FB7DFA"/>
    <w:rsid w:val="00FC4028"/>
    <w:rsid w:val="00FC73B3"/>
    <w:rsid w:val="00FE2E0C"/>
    <w:rsid w:val="00FE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4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87F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B1115"/>
    <w:rPr>
      <w:rFonts w:ascii="Segoe UI" w:eastAsia="Calibri" w:hAnsi="Segoe UI"/>
      <w:sz w:val="18"/>
      <w:szCs w:val="18"/>
    </w:rPr>
  </w:style>
  <w:style w:type="character" w:customStyle="1" w:styleId="a5">
    <w:name w:val="Текст выноски Знак"/>
    <w:basedOn w:val="a0"/>
    <w:link w:val="a4"/>
    <w:uiPriority w:val="99"/>
    <w:semiHidden/>
    <w:locked/>
    <w:rsid w:val="005B1115"/>
    <w:rPr>
      <w:rFonts w:ascii="Segoe UI" w:hAnsi="Segoe UI" w:cs="Times New Roman"/>
      <w:sz w:val="18"/>
      <w:lang w:eastAsia="ru-RU"/>
    </w:rPr>
  </w:style>
  <w:style w:type="paragraph" w:styleId="a6">
    <w:name w:val="Normal (Web)"/>
    <w:basedOn w:val="a"/>
    <w:uiPriority w:val="99"/>
    <w:rsid w:val="0063328D"/>
    <w:pPr>
      <w:spacing w:after="180"/>
    </w:pPr>
    <w:rPr>
      <w:rFonts w:eastAsia="Calibri"/>
    </w:rPr>
  </w:style>
  <w:style w:type="paragraph" w:customStyle="1" w:styleId="1">
    <w:name w:val="Обычный (веб)1"/>
    <w:basedOn w:val="a"/>
    <w:uiPriority w:val="99"/>
    <w:rsid w:val="00383CD0"/>
    <w:pPr>
      <w:jc w:val="both"/>
    </w:pPr>
    <w:rPr>
      <w:rFonts w:eastAsia="Calibri"/>
    </w:rPr>
  </w:style>
  <w:style w:type="paragraph" w:styleId="a7">
    <w:name w:val="Body Text Indent"/>
    <w:basedOn w:val="a"/>
    <w:link w:val="a8"/>
    <w:uiPriority w:val="99"/>
    <w:rsid w:val="0016185C"/>
    <w:pPr>
      <w:spacing w:line="336" w:lineRule="auto"/>
      <w:ind w:firstLine="851"/>
      <w:jc w:val="both"/>
    </w:pPr>
    <w:rPr>
      <w:rFonts w:ascii="Calibri" w:eastAsia="Calibri" w:hAnsi="Calibri"/>
      <w:sz w:val="28"/>
      <w:szCs w:val="20"/>
    </w:rPr>
  </w:style>
  <w:style w:type="character" w:customStyle="1" w:styleId="BodyTextIndentChar">
    <w:name w:val="Body Text Indent Char"/>
    <w:basedOn w:val="a0"/>
    <w:uiPriority w:val="99"/>
    <w:semiHidden/>
    <w:locked/>
    <w:rsid w:val="00345778"/>
    <w:rPr>
      <w:rFonts w:ascii="Times New Roman" w:hAnsi="Times New Roman" w:cs="Times New Roman"/>
      <w:sz w:val="24"/>
      <w:szCs w:val="24"/>
    </w:rPr>
  </w:style>
  <w:style w:type="character" w:customStyle="1" w:styleId="a8">
    <w:name w:val="Основной текст с отступом Знак"/>
    <w:link w:val="a7"/>
    <w:uiPriority w:val="99"/>
    <w:locked/>
    <w:rsid w:val="0016185C"/>
    <w:rPr>
      <w:sz w:val="28"/>
      <w:lang w:val="ru-RU" w:eastAsia="ru-RU"/>
    </w:rPr>
  </w:style>
  <w:style w:type="paragraph" w:customStyle="1" w:styleId="31">
    <w:name w:val="Основной текст 31"/>
    <w:basedOn w:val="a"/>
    <w:uiPriority w:val="99"/>
    <w:rsid w:val="0016185C"/>
    <w:pPr>
      <w:pBdr>
        <w:bottom w:val="single" w:sz="4" w:space="1" w:color="000000"/>
      </w:pBdr>
    </w:pPr>
    <w:rPr>
      <w:rFonts w:eastAsia="Calibri"/>
      <w:szCs w:val="20"/>
      <w:lang w:eastAsia="ar-SA"/>
    </w:rPr>
  </w:style>
  <w:style w:type="paragraph" w:customStyle="1" w:styleId="Default">
    <w:name w:val="Default"/>
    <w:rsid w:val="00900706"/>
    <w:pPr>
      <w:autoSpaceDE w:val="0"/>
      <w:autoSpaceDN w:val="0"/>
      <w:adjustRightInd w:val="0"/>
    </w:pPr>
    <w:rPr>
      <w:rFonts w:ascii="Times New Roman" w:eastAsiaTheme="minorHAnsi" w:hAnsi="Times New Roman"/>
      <w:color w:val="000000"/>
      <w:sz w:val="24"/>
      <w:szCs w:val="24"/>
      <w:lang w:eastAsia="en-US"/>
    </w:rPr>
  </w:style>
  <w:style w:type="paragraph" w:styleId="a9">
    <w:name w:val="footer"/>
    <w:basedOn w:val="a"/>
    <w:link w:val="aa"/>
    <w:rsid w:val="00E66A5F"/>
    <w:pPr>
      <w:tabs>
        <w:tab w:val="center" w:pos="4677"/>
        <w:tab w:val="right" w:pos="9355"/>
      </w:tabs>
    </w:pPr>
  </w:style>
  <w:style w:type="character" w:customStyle="1" w:styleId="aa">
    <w:name w:val="Нижний колонтитул Знак"/>
    <w:basedOn w:val="a0"/>
    <w:link w:val="a9"/>
    <w:rsid w:val="00E66A5F"/>
    <w:rPr>
      <w:rFonts w:ascii="Times New Roman" w:eastAsia="Times New Roman" w:hAnsi="Times New Roman"/>
      <w:sz w:val="24"/>
      <w:szCs w:val="24"/>
    </w:rPr>
  </w:style>
  <w:style w:type="paragraph" w:customStyle="1" w:styleId="ConsPlusNormal">
    <w:name w:val="ConsPlusNormal"/>
    <w:rsid w:val="00806FFB"/>
    <w:pPr>
      <w:widowControl w:val="0"/>
      <w:autoSpaceDE w:val="0"/>
      <w:autoSpaceDN w:val="0"/>
    </w:pPr>
    <w:rPr>
      <w:rFonts w:eastAsia="Times New Roman" w:cs="Calibri"/>
      <w:szCs w:val="20"/>
      <w:lang w:val="en-US" w:eastAsia="en-US"/>
    </w:rPr>
  </w:style>
  <w:style w:type="paragraph" w:customStyle="1" w:styleId="ConsPlusTitle">
    <w:name w:val="ConsPlusTitle"/>
    <w:rsid w:val="00806FFB"/>
    <w:pPr>
      <w:widowControl w:val="0"/>
      <w:autoSpaceDE w:val="0"/>
      <w:autoSpaceDN w:val="0"/>
    </w:pPr>
    <w:rPr>
      <w:rFonts w:eastAsia="Times New Roman" w:cs="Calibri"/>
      <w:b/>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4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87F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B1115"/>
    <w:rPr>
      <w:rFonts w:ascii="Segoe UI" w:eastAsia="Calibri" w:hAnsi="Segoe UI"/>
      <w:sz w:val="18"/>
      <w:szCs w:val="18"/>
    </w:rPr>
  </w:style>
  <w:style w:type="character" w:customStyle="1" w:styleId="a5">
    <w:name w:val="Текст выноски Знак"/>
    <w:basedOn w:val="a0"/>
    <w:link w:val="a4"/>
    <w:uiPriority w:val="99"/>
    <w:semiHidden/>
    <w:locked/>
    <w:rsid w:val="005B1115"/>
    <w:rPr>
      <w:rFonts w:ascii="Segoe UI" w:hAnsi="Segoe UI" w:cs="Times New Roman"/>
      <w:sz w:val="18"/>
      <w:lang w:eastAsia="ru-RU"/>
    </w:rPr>
  </w:style>
  <w:style w:type="paragraph" w:styleId="a6">
    <w:name w:val="Normal (Web)"/>
    <w:basedOn w:val="a"/>
    <w:uiPriority w:val="99"/>
    <w:rsid w:val="0063328D"/>
    <w:pPr>
      <w:spacing w:after="180"/>
    </w:pPr>
    <w:rPr>
      <w:rFonts w:eastAsia="Calibri"/>
    </w:rPr>
  </w:style>
  <w:style w:type="paragraph" w:customStyle="1" w:styleId="1">
    <w:name w:val="Обычный (веб)1"/>
    <w:basedOn w:val="a"/>
    <w:uiPriority w:val="99"/>
    <w:rsid w:val="00383CD0"/>
    <w:pPr>
      <w:jc w:val="both"/>
    </w:pPr>
    <w:rPr>
      <w:rFonts w:eastAsia="Calibri"/>
    </w:rPr>
  </w:style>
  <w:style w:type="paragraph" w:styleId="a7">
    <w:name w:val="Body Text Indent"/>
    <w:basedOn w:val="a"/>
    <w:link w:val="a8"/>
    <w:uiPriority w:val="99"/>
    <w:rsid w:val="0016185C"/>
    <w:pPr>
      <w:spacing w:line="336" w:lineRule="auto"/>
      <w:ind w:firstLine="851"/>
      <w:jc w:val="both"/>
    </w:pPr>
    <w:rPr>
      <w:rFonts w:ascii="Calibri" w:eastAsia="Calibri" w:hAnsi="Calibri"/>
      <w:sz w:val="28"/>
      <w:szCs w:val="20"/>
    </w:rPr>
  </w:style>
  <w:style w:type="character" w:customStyle="1" w:styleId="BodyTextIndentChar">
    <w:name w:val="Body Text Indent Char"/>
    <w:basedOn w:val="a0"/>
    <w:uiPriority w:val="99"/>
    <w:semiHidden/>
    <w:locked/>
    <w:rsid w:val="00345778"/>
    <w:rPr>
      <w:rFonts w:ascii="Times New Roman" w:hAnsi="Times New Roman" w:cs="Times New Roman"/>
      <w:sz w:val="24"/>
      <w:szCs w:val="24"/>
    </w:rPr>
  </w:style>
  <w:style w:type="character" w:customStyle="1" w:styleId="a8">
    <w:name w:val="Основной текст с отступом Знак"/>
    <w:link w:val="a7"/>
    <w:uiPriority w:val="99"/>
    <w:locked/>
    <w:rsid w:val="0016185C"/>
    <w:rPr>
      <w:sz w:val="28"/>
      <w:lang w:val="ru-RU" w:eastAsia="ru-RU"/>
    </w:rPr>
  </w:style>
  <w:style w:type="paragraph" w:customStyle="1" w:styleId="31">
    <w:name w:val="Основной текст 31"/>
    <w:basedOn w:val="a"/>
    <w:uiPriority w:val="99"/>
    <w:rsid w:val="0016185C"/>
    <w:pPr>
      <w:pBdr>
        <w:bottom w:val="single" w:sz="4" w:space="1" w:color="000000"/>
      </w:pBdr>
    </w:pPr>
    <w:rPr>
      <w:rFonts w:eastAsia="Calibri"/>
      <w:szCs w:val="20"/>
      <w:lang w:eastAsia="ar-SA"/>
    </w:rPr>
  </w:style>
  <w:style w:type="paragraph" w:customStyle="1" w:styleId="Default">
    <w:name w:val="Default"/>
    <w:rsid w:val="00900706"/>
    <w:pPr>
      <w:autoSpaceDE w:val="0"/>
      <w:autoSpaceDN w:val="0"/>
      <w:adjustRightInd w:val="0"/>
    </w:pPr>
    <w:rPr>
      <w:rFonts w:ascii="Times New Roman" w:eastAsiaTheme="minorHAnsi" w:hAnsi="Times New Roman"/>
      <w:color w:val="000000"/>
      <w:sz w:val="24"/>
      <w:szCs w:val="24"/>
      <w:lang w:eastAsia="en-US"/>
    </w:rPr>
  </w:style>
  <w:style w:type="paragraph" w:styleId="a9">
    <w:name w:val="footer"/>
    <w:basedOn w:val="a"/>
    <w:link w:val="aa"/>
    <w:rsid w:val="00E66A5F"/>
    <w:pPr>
      <w:tabs>
        <w:tab w:val="center" w:pos="4677"/>
        <w:tab w:val="right" w:pos="9355"/>
      </w:tabs>
    </w:pPr>
  </w:style>
  <w:style w:type="character" w:customStyle="1" w:styleId="aa">
    <w:name w:val="Нижний колонтитул Знак"/>
    <w:basedOn w:val="a0"/>
    <w:link w:val="a9"/>
    <w:rsid w:val="00E66A5F"/>
    <w:rPr>
      <w:rFonts w:ascii="Times New Roman" w:eastAsia="Times New Roman" w:hAnsi="Times New Roman"/>
      <w:sz w:val="24"/>
      <w:szCs w:val="24"/>
    </w:rPr>
  </w:style>
  <w:style w:type="paragraph" w:customStyle="1" w:styleId="ConsPlusNormal">
    <w:name w:val="ConsPlusNormal"/>
    <w:rsid w:val="00806FFB"/>
    <w:pPr>
      <w:widowControl w:val="0"/>
      <w:autoSpaceDE w:val="0"/>
      <w:autoSpaceDN w:val="0"/>
    </w:pPr>
    <w:rPr>
      <w:rFonts w:eastAsia="Times New Roman" w:cs="Calibri"/>
      <w:szCs w:val="20"/>
      <w:lang w:val="en-US" w:eastAsia="en-US"/>
    </w:rPr>
  </w:style>
  <w:style w:type="paragraph" w:customStyle="1" w:styleId="ConsPlusTitle">
    <w:name w:val="ConsPlusTitle"/>
    <w:rsid w:val="00806FFB"/>
    <w:pPr>
      <w:widowControl w:val="0"/>
      <w:autoSpaceDE w:val="0"/>
      <w:autoSpaceDN w:val="0"/>
    </w:pPr>
    <w:rPr>
      <w:rFonts w:eastAsia="Times New Roman" w:cs="Calibri"/>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0875">
      <w:marLeft w:val="0"/>
      <w:marRight w:val="0"/>
      <w:marTop w:val="0"/>
      <w:marBottom w:val="0"/>
      <w:divBdr>
        <w:top w:val="none" w:sz="0" w:space="0" w:color="auto"/>
        <w:left w:val="none" w:sz="0" w:space="0" w:color="auto"/>
        <w:bottom w:val="none" w:sz="0" w:space="0" w:color="auto"/>
        <w:right w:val="none" w:sz="0" w:space="0" w:color="auto"/>
      </w:divBdr>
    </w:div>
    <w:div w:id="478690876">
      <w:marLeft w:val="0"/>
      <w:marRight w:val="0"/>
      <w:marTop w:val="0"/>
      <w:marBottom w:val="0"/>
      <w:divBdr>
        <w:top w:val="none" w:sz="0" w:space="0" w:color="auto"/>
        <w:left w:val="none" w:sz="0" w:space="0" w:color="auto"/>
        <w:bottom w:val="none" w:sz="0" w:space="0" w:color="auto"/>
        <w:right w:val="none" w:sz="0" w:space="0" w:color="auto"/>
      </w:divBdr>
    </w:div>
    <w:div w:id="478690877">
      <w:marLeft w:val="0"/>
      <w:marRight w:val="0"/>
      <w:marTop w:val="0"/>
      <w:marBottom w:val="0"/>
      <w:divBdr>
        <w:top w:val="none" w:sz="0" w:space="0" w:color="auto"/>
        <w:left w:val="none" w:sz="0" w:space="0" w:color="auto"/>
        <w:bottom w:val="none" w:sz="0" w:space="0" w:color="auto"/>
        <w:right w:val="none" w:sz="0" w:space="0" w:color="auto"/>
      </w:divBdr>
    </w:div>
    <w:div w:id="1103265184">
      <w:bodyDiv w:val="1"/>
      <w:marLeft w:val="0"/>
      <w:marRight w:val="0"/>
      <w:marTop w:val="0"/>
      <w:marBottom w:val="0"/>
      <w:divBdr>
        <w:top w:val="none" w:sz="0" w:space="0" w:color="auto"/>
        <w:left w:val="none" w:sz="0" w:space="0" w:color="auto"/>
        <w:bottom w:val="none" w:sz="0" w:space="0" w:color="auto"/>
        <w:right w:val="none" w:sz="0" w:space="0" w:color="auto"/>
      </w:divBdr>
    </w:div>
    <w:div w:id="11039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575985A98CE4D78D9CF5F664DC9D36E281046D6D3E745D1E78D4FF21A2ACBA943CCD2EA04D0FF66C1B377At2PA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C2EF-40EC-4014-8A44-CC60206C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Для устойчивого развития любой компании приоритетным направлением является выбор надежного и сильного партнера по бизнесу</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устойчивого развития любой компании приоритетным направлением является выбор надежного и сильного партнера по бизнесу</dc:title>
  <dc:subject/>
  <dc:creator>Бамбиза М.И.</dc:creator>
  <cp:keywords/>
  <dc:description/>
  <cp:lastModifiedBy>Лосева Ирина Евгеньевна</cp:lastModifiedBy>
  <cp:revision>8</cp:revision>
  <cp:lastPrinted>2018-06-19T09:17:00Z</cp:lastPrinted>
  <dcterms:created xsi:type="dcterms:W3CDTF">2019-09-12T05:21:00Z</dcterms:created>
  <dcterms:modified xsi:type="dcterms:W3CDTF">2019-09-17T09:03:00Z</dcterms:modified>
</cp:coreProperties>
</file>