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A5" w:rsidRPr="00E400A5" w:rsidRDefault="00E400A5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400A5" w:rsidRPr="00E400A5" w:rsidRDefault="00E400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400A5">
        <w:rPr>
          <w:rFonts w:ascii="Times New Roman" w:hAnsi="Times New Roman" w:cs="Times New Roman"/>
          <w:sz w:val="26"/>
          <w:szCs w:val="26"/>
        </w:rPr>
        <w:t>НОВАЯ ФОРМА КНИГИ ПРИ УСН</w:t>
      </w:r>
    </w:p>
    <w:bookmarkEnd w:id="0"/>
    <w:p w:rsidR="00E400A5" w:rsidRPr="00E400A5" w:rsidRDefault="00E400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400A5" w:rsidRPr="00E400A5" w:rsidRDefault="00E400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 xml:space="preserve">С 01.02.2019 вступило в силу постановление МНС, Минфина, Минтруда и соцзащиты, </w:t>
      </w:r>
      <w:proofErr w:type="spellStart"/>
      <w:r w:rsidRPr="00E400A5">
        <w:rPr>
          <w:rFonts w:ascii="Times New Roman" w:hAnsi="Times New Roman" w:cs="Times New Roman"/>
          <w:sz w:val="26"/>
          <w:szCs w:val="26"/>
        </w:rPr>
        <w:t>Минстата</w:t>
      </w:r>
      <w:proofErr w:type="spellEnd"/>
      <w:r w:rsidRPr="00E400A5">
        <w:rPr>
          <w:rFonts w:ascii="Times New Roman" w:hAnsi="Times New Roman" w:cs="Times New Roman"/>
          <w:sz w:val="26"/>
          <w:szCs w:val="26"/>
        </w:rPr>
        <w:t xml:space="preserve"> от 09.01.2019 N 4/1/1/1, которым утверждены новая форма </w:t>
      </w:r>
      <w:hyperlink r:id="rId5" w:history="1">
        <w:r w:rsidRPr="00E400A5">
          <w:rPr>
            <w:rFonts w:ascii="Times New Roman" w:hAnsi="Times New Roman" w:cs="Times New Roman"/>
            <w:sz w:val="26"/>
            <w:szCs w:val="26"/>
          </w:rPr>
          <w:t>Книги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при УСН и </w:t>
      </w:r>
      <w:hyperlink r:id="rId6" w:history="1">
        <w:r w:rsidRPr="00E400A5">
          <w:rPr>
            <w:rFonts w:ascii="Times New Roman" w:hAnsi="Times New Roman" w:cs="Times New Roman"/>
            <w:sz w:val="26"/>
            <w:szCs w:val="26"/>
          </w:rPr>
          <w:t>Инструкция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о порядке ее заполнения.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Значительные изменения коснулись учета обязательств налоговым агентом, учета взносов в ФСЗН и на ППС, учета капитальных строений. Некоторые разделы и части сокращены. Тем самым предполагается упростить книжный учет при УСН.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Так, в Книге при УСН упразднен учет: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- налога на доходы иностранных организаций, не осуществляющих деятельность в Республике Беларусь через постоянное представительство (</w:t>
      </w:r>
      <w:hyperlink r:id="rId7" w:history="1">
        <w:r w:rsidRPr="00E400A5">
          <w:rPr>
            <w:rFonts w:ascii="Times New Roman" w:hAnsi="Times New Roman" w:cs="Times New Roman"/>
            <w:sz w:val="26"/>
            <w:szCs w:val="26"/>
          </w:rPr>
          <w:t>п. 1 раздела II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Книги при УСН, утв. постановлением N 55/60/59/38);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- исчисленных и перечисленных сумм подоходного налога (</w:t>
      </w:r>
      <w:hyperlink r:id="rId8" w:history="1">
        <w:r w:rsidRPr="00E400A5">
          <w:rPr>
            <w:rFonts w:ascii="Times New Roman" w:hAnsi="Times New Roman" w:cs="Times New Roman"/>
            <w:sz w:val="26"/>
            <w:szCs w:val="26"/>
          </w:rPr>
          <w:t>подп. 2.2 раздела II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Книги при УСН, утв. постановлением N 55/60/59/38);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- налога на прибыль по дивидендам, начисленным белорусским организациям (</w:t>
      </w:r>
      <w:hyperlink r:id="rId9" w:history="1">
        <w:r w:rsidRPr="00E400A5">
          <w:rPr>
            <w:rFonts w:ascii="Times New Roman" w:hAnsi="Times New Roman" w:cs="Times New Roman"/>
            <w:sz w:val="26"/>
            <w:szCs w:val="26"/>
          </w:rPr>
          <w:t>п. 3 раздела II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Книги при УСН, утв. постановлением N 55/60/59/38);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- исчисленных и перечисленных в ФСЗН страховых взносов (</w:t>
      </w:r>
      <w:hyperlink r:id="rId10" w:history="1">
        <w:r w:rsidRPr="00E400A5">
          <w:rPr>
            <w:rFonts w:ascii="Times New Roman" w:hAnsi="Times New Roman" w:cs="Times New Roman"/>
            <w:sz w:val="26"/>
            <w:szCs w:val="26"/>
          </w:rPr>
          <w:t>п. 2 раздела IV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Книги при УСН, утв. постановлением N 55/60/59/38);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- исчисленных и перечисленных в бюджет фонда взносов на ППС (</w:t>
      </w:r>
      <w:hyperlink r:id="rId11" w:history="1">
        <w:r w:rsidRPr="00E400A5">
          <w:rPr>
            <w:rFonts w:ascii="Times New Roman" w:hAnsi="Times New Roman" w:cs="Times New Roman"/>
            <w:sz w:val="26"/>
            <w:szCs w:val="26"/>
          </w:rPr>
          <w:t>п. 4 раздела IV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Книги при УСН, утв. постановлением N 55/60/59/38);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- расходов за счет средств ФСЗН (</w:t>
      </w:r>
      <w:hyperlink r:id="rId12" w:history="1">
        <w:r w:rsidRPr="00E400A5">
          <w:rPr>
            <w:rFonts w:ascii="Times New Roman" w:hAnsi="Times New Roman" w:cs="Times New Roman"/>
            <w:sz w:val="26"/>
            <w:szCs w:val="26"/>
          </w:rPr>
          <w:t>раздел V</w:t>
        </w:r>
      </w:hyperlink>
      <w:r w:rsidRPr="00E400A5">
        <w:rPr>
          <w:rFonts w:ascii="Times New Roman" w:hAnsi="Times New Roman" w:cs="Times New Roman"/>
          <w:sz w:val="26"/>
          <w:szCs w:val="26"/>
        </w:rPr>
        <w:t>);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- зданий, сооружений и передаточных устрой</w:t>
      </w:r>
      <w:proofErr w:type="gramStart"/>
      <w:r w:rsidRPr="00E400A5">
        <w:rPr>
          <w:rFonts w:ascii="Times New Roman" w:hAnsi="Times New Roman" w:cs="Times New Roman"/>
          <w:sz w:val="26"/>
          <w:szCs w:val="26"/>
        </w:rPr>
        <w:t>ств св</w:t>
      </w:r>
      <w:proofErr w:type="gramEnd"/>
      <w:r w:rsidRPr="00E400A5">
        <w:rPr>
          <w:rFonts w:ascii="Times New Roman" w:hAnsi="Times New Roman" w:cs="Times New Roman"/>
          <w:sz w:val="26"/>
          <w:szCs w:val="26"/>
        </w:rPr>
        <w:t>ерхнормативного незавершенного строительства (</w:t>
      </w:r>
      <w:hyperlink r:id="rId13" w:history="1">
        <w:r w:rsidRPr="00E400A5">
          <w:rPr>
            <w:rFonts w:ascii="Times New Roman" w:hAnsi="Times New Roman" w:cs="Times New Roman"/>
            <w:sz w:val="26"/>
            <w:szCs w:val="26"/>
          </w:rPr>
          <w:t>часть II раздела VI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Книги при УСН, утв. постановлением N 55/60/59/38).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С 2019 года ИП, ведущие учет в Книге при УСН, имеют право отражать выручку по отгрузке (</w:t>
      </w:r>
      <w:hyperlink r:id="rId14" w:history="1">
        <w:r w:rsidRPr="00E400A5">
          <w:rPr>
            <w:rFonts w:ascii="Times New Roman" w:hAnsi="Times New Roman" w:cs="Times New Roman"/>
            <w:sz w:val="26"/>
            <w:szCs w:val="26"/>
          </w:rPr>
          <w:t>подп. 4.2 ст. 328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НК). В связи с этим </w:t>
      </w:r>
      <w:hyperlink r:id="rId15" w:history="1">
        <w:r w:rsidRPr="00E400A5">
          <w:rPr>
            <w:rFonts w:ascii="Times New Roman" w:hAnsi="Times New Roman" w:cs="Times New Roman"/>
            <w:sz w:val="26"/>
            <w:szCs w:val="26"/>
          </w:rPr>
          <w:t>Инструкция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о порядке заполнения Книги при УСН дополнена отдельными положениями для таких плательщиков.</w:t>
      </w:r>
    </w:p>
    <w:p w:rsidR="00E400A5" w:rsidRPr="00E400A5" w:rsidRDefault="00E400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0A5">
        <w:rPr>
          <w:rFonts w:ascii="Times New Roman" w:hAnsi="Times New Roman" w:cs="Times New Roman"/>
          <w:sz w:val="26"/>
          <w:szCs w:val="26"/>
        </w:rPr>
        <w:t>Как и прежде, Книга при УСН может вестись как на бумажных носителях, так и в электронном виде, а также при необходимости детализации учета можно вводить дополнительные графы и строки (</w:t>
      </w:r>
      <w:hyperlink r:id="rId16" w:history="1">
        <w:r w:rsidRPr="00E400A5">
          <w:rPr>
            <w:rFonts w:ascii="Times New Roman" w:hAnsi="Times New Roman" w:cs="Times New Roman"/>
            <w:sz w:val="26"/>
            <w:szCs w:val="26"/>
          </w:rPr>
          <w:t>п. 3</w:t>
        </w:r>
      </w:hyperlink>
      <w:r w:rsidRPr="00E400A5">
        <w:rPr>
          <w:rFonts w:ascii="Times New Roman" w:hAnsi="Times New Roman" w:cs="Times New Roman"/>
          <w:sz w:val="26"/>
          <w:szCs w:val="26"/>
        </w:rPr>
        <w:t xml:space="preserve"> Инструкции о порядке заполнения Книги при УСН).</w:t>
      </w:r>
    </w:p>
    <w:p w:rsidR="00E400A5" w:rsidRPr="00E400A5" w:rsidRDefault="00E400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E400A5" w:rsidRPr="00E400A5" w:rsidSect="00B3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A5"/>
    <w:rsid w:val="00593C28"/>
    <w:rsid w:val="00E4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5BF9020A5077F5DB1AB4216A437A9670025D6CFCA880678DBD286EA88085022E1F79B954C70D7D05237E84BD5165H" TargetMode="External"/><Relationship Id="rId13" Type="http://schemas.openxmlformats.org/officeDocument/2006/relationships/hyperlink" Target="consultantplus://offline/ref=675BF9020A5077F5DB1AB4216A437A9670025D6CFCA880678DBD286EA88085022E1F79B954C70D7D05237E85BC5165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5BF9020A5077F5DB1AB4216A437A9670025D6CFCA880678DBD286EA88085022E1F79B954C70D7D05237E84BA5166H" TargetMode="External"/><Relationship Id="rId12" Type="http://schemas.openxmlformats.org/officeDocument/2006/relationships/hyperlink" Target="consultantplus://offline/ref=675BF9020A5077F5DB1AB4216A437A9670025D6CFCA880678DBD286EA88085022E1F79B954C70D7D05237E83BE516A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5BF9020A5077F5DB1AB4216A437A9670025D6CFCA88D6F8CB0276EA88085022E1F79B954C70D7D05237F85B8516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5BF9020A5077F5DB1AB4216A437A9670025D6CFCA88D6F8CB0276EA88085022E1F79B954C70D7D05237F85B95165H" TargetMode="External"/><Relationship Id="rId11" Type="http://schemas.openxmlformats.org/officeDocument/2006/relationships/hyperlink" Target="consultantplus://offline/ref=675BF9020A5077F5DB1AB4216A437A9670025D6CFCA880678DBD286EA88085022E1F79B954C70D7D05237E86B95163H" TargetMode="External"/><Relationship Id="rId5" Type="http://schemas.openxmlformats.org/officeDocument/2006/relationships/hyperlink" Target="consultantplus://offline/ref=675BF9020A5077F5DB1AB4216A437A9670025D6CFCA88D6F8CB0276EA88085022E1F79B954C70D7D05237F80BA516AH" TargetMode="External"/><Relationship Id="rId15" Type="http://schemas.openxmlformats.org/officeDocument/2006/relationships/hyperlink" Target="consultantplus://offline/ref=675BF9020A5077F5DB1AB4216A437A9670025D6CFCA88D6F8CB0276EA88085022E1F79B954C70D7D05237F85B8516AH" TargetMode="External"/><Relationship Id="rId10" Type="http://schemas.openxmlformats.org/officeDocument/2006/relationships/hyperlink" Target="consultantplus://offline/ref=675BF9020A5077F5DB1AB4216A437A9670025D6CFCA880678DBD286EA88085022E1F79B954C70D7D05237E86BB516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5BF9020A5077F5DB1AB4216A437A9670025D6CFCA880678DBD286EA88085022E1F79B954C70D7D05237E84B35162H" TargetMode="External"/><Relationship Id="rId14" Type="http://schemas.openxmlformats.org/officeDocument/2006/relationships/hyperlink" Target="consultantplus://offline/ref=675BF9020A5077F5DB1AB4216A437A9670025D6CFCA88D6F81B92F6EA88085022E1F79B954C70D7D05277C86BD516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Попко Татьяна Николаевна</cp:lastModifiedBy>
  <cp:revision>1</cp:revision>
  <dcterms:created xsi:type="dcterms:W3CDTF">2019-09-25T07:58:00Z</dcterms:created>
  <dcterms:modified xsi:type="dcterms:W3CDTF">2019-09-25T08:00:00Z</dcterms:modified>
</cp:coreProperties>
</file>