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3D" w:rsidRDefault="00481023">
      <w:pPr>
        <w:pStyle w:val="10"/>
        <w:framePr w:w="9653" w:h="14757" w:hRule="exact" w:wrap="none" w:vAnchor="page" w:hAnchor="page" w:x="1134" w:y="1045"/>
        <w:shd w:val="clear" w:color="auto" w:fill="auto"/>
        <w:spacing w:after="304" w:line="270" w:lineRule="exact"/>
        <w:ind w:left="20"/>
      </w:pPr>
      <w:bookmarkStart w:id="0" w:name="bookmark0"/>
      <w:r>
        <w:t>О порядке рассмотрения обращений налоговыми органами</w:t>
      </w:r>
      <w:bookmarkEnd w:id="0"/>
    </w:p>
    <w:p w:rsidR="0030473D" w:rsidRDefault="00481023">
      <w:pPr>
        <w:pStyle w:val="5"/>
        <w:framePr w:w="9653" w:h="14757" w:hRule="exact" w:wrap="none" w:vAnchor="page" w:hAnchor="page" w:x="1134" w:y="1045"/>
        <w:shd w:val="clear" w:color="auto" w:fill="auto"/>
        <w:spacing w:before="0"/>
        <w:ind w:left="20" w:right="20" w:firstLine="560"/>
      </w:pPr>
      <w:r>
        <w:t>Налоговые органы рассматривают поступающие обращения граждан и юридических лиц в соответствии с Законом Республики Беларусь от 18.07.2011 № Э00-З «Об обращениях граждан и юридических лиц».</w:t>
      </w:r>
    </w:p>
    <w:p w:rsidR="0030473D" w:rsidRDefault="00481023">
      <w:pPr>
        <w:pStyle w:val="5"/>
        <w:framePr w:w="9653" w:h="14757" w:hRule="exact" w:wrap="none" w:vAnchor="page" w:hAnchor="page" w:x="1134" w:y="1045"/>
        <w:shd w:val="clear" w:color="auto" w:fill="auto"/>
        <w:spacing w:before="0"/>
        <w:ind w:left="20" w:right="20" w:firstLine="560"/>
      </w:pPr>
      <w:r>
        <w:t>Перечень государственных органов, иных организаций, ответственных за рассмотрение обращений по существу в отдельных сферах жизнедеятельности населения утвержден Указом Президента Республики Беларусь от 15.10.2007 № 498 «О дополнительных мерах по работе с обращениями граждан и юридических лиц» (далее - Указ № 498).</w:t>
      </w:r>
    </w:p>
    <w:p w:rsidR="0030473D" w:rsidRDefault="00481023">
      <w:pPr>
        <w:pStyle w:val="5"/>
        <w:framePr w:w="9653" w:h="14757" w:hRule="exact" w:wrap="none" w:vAnchor="page" w:hAnchor="page" w:x="1134" w:y="1045"/>
        <w:shd w:val="clear" w:color="auto" w:fill="auto"/>
        <w:spacing w:before="0"/>
        <w:ind w:left="20" w:right="20" w:firstLine="560"/>
      </w:pPr>
      <w:r>
        <w:t>Обращения граждан, в том числе зарегистрированных в качестве индивидуальных предпринимателей, и юридических лиц рассматриваются в соответствии с Указом № 498 первоначально в тех инспекциях МНС, где возникли вопросы, изложенные в обращениях.</w:t>
      </w:r>
    </w:p>
    <w:p w:rsidR="0030473D" w:rsidRDefault="00481023">
      <w:pPr>
        <w:pStyle w:val="5"/>
        <w:framePr w:w="9653" w:h="14757" w:hRule="exact" w:wrap="none" w:vAnchor="page" w:hAnchor="page" w:x="1134" w:y="1045"/>
        <w:shd w:val="clear" w:color="auto" w:fill="auto"/>
        <w:spacing w:before="0"/>
        <w:ind w:left="20" w:firstLine="560"/>
      </w:pPr>
      <w:r>
        <w:t>Так, обращения рассматриваются:</w:t>
      </w:r>
    </w:p>
    <w:p w:rsidR="0030473D" w:rsidRDefault="00481023">
      <w:pPr>
        <w:pStyle w:val="10"/>
        <w:framePr w:w="9653" w:h="14757" w:hRule="exact" w:wrap="none" w:vAnchor="page" w:hAnchor="page" w:x="1134" w:y="1045"/>
        <w:numPr>
          <w:ilvl w:val="0"/>
          <w:numId w:val="1"/>
        </w:numPr>
        <w:shd w:val="clear" w:color="auto" w:fill="auto"/>
        <w:tabs>
          <w:tab w:val="left" w:pos="758"/>
        </w:tabs>
        <w:spacing w:after="0" w:line="341" w:lineRule="exact"/>
        <w:ind w:left="20" w:firstLine="560"/>
        <w:jc w:val="both"/>
      </w:pPr>
      <w:bookmarkStart w:id="1" w:name="bookmark1"/>
      <w:r>
        <w:rPr>
          <w:rStyle w:val="11"/>
          <w:b/>
          <w:bCs/>
        </w:rPr>
        <w:t>в инспекциях МНС по районам, городам, районам в городах:</w:t>
      </w:r>
      <w:bookmarkEnd w:id="1"/>
    </w:p>
    <w:p w:rsidR="0030473D" w:rsidRDefault="00481023">
      <w:pPr>
        <w:pStyle w:val="5"/>
        <w:framePr w:w="9653" w:h="14757" w:hRule="exact" w:wrap="none" w:vAnchor="page" w:hAnchor="page" w:x="1134" w:y="1045"/>
        <w:shd w:val="clear" w:color="auto" w:fill="auto"/>
        <w:spacing w:before="0"/>
        <w:ind w:left="20" w:right="20" w:firstLine="560"/>
      </w:pPr>
      <w:r>
        <w:rPr>
          <w:rStyle w:val="12"/>
        </w:rPr>
        <w:t>по вопросам разъяснения налогового законодательства; исчисления и уплаты обязательных платежей в бюджет, в том числе государственные целевые бюджетные фонды, в случаях, когда в соответствии с законодательными актами налоговые органы в отношении таких платежей пользуются правами и исполняют обязанности, установленные налоговым законодательством; декларирования физическими лицами доходов и имущества;</w:t>
      </w:r>
    </w:p>
    <w:p w:rsidR="0030473D" w:rsidRDefault="00481023">
      <w:pPr>
        <w:pStyle w:val="10"/>
        <w:framePr w:w="9653" w:h="14757" w:hRule="exact" w:wrap="none" w:vAnchor="page" w:hAnchor="page" w:x="1134" w:y="1045"/>
        <w:numPr>
          <w:ilvl w:val="0"/>
          <w:numId w:val="1"/>
        </w:numPr>
        <w:shd w:val="clear" w:color="auto" w:fill="auto"/>
        <w:tabs>
          <w:tab w:val="left" w:pos="758"/>
        </w:tabs>
        <w:spacing w:after="0" w:line="341" w:lineRule="exact"/>
        <w:ind w:left="20" w:firstLine="560"/>
        <w:jc w:val="both"/>
      </w:pPr>
      <w:bookmarkStart w:id="2" w:name="bookmark2"/>
      <w:r>
        <w:t xml:space="preserve">в инспекциях МНС по областям и </w:t>
      </w:r>
      <w:proofErr w:type="spellStart"/>
      <w:r>
        <w:t>г</w:t>
      </w:r>
      <w:proofErr w:type="gramStart"/>
      <w:r>
        <w:t>.М</w:t>
      </w:r>
      <w:proofErr w:type="gramEnd"/>
      <w:r>
        <w:t>инску</w:t>
      </w:r>
      <w:proofErr w:type="spellEnd"/>
      <w:r>
        <w:t>:</w:t>
      </w:r>
      <w:bookmarkEnd w:id="2"/>
    </w:p>
    <w:p w:rsidR="0030473D" w:rsidRDefault="00481023">
      <w:pPr>
        <w:pStyle w:val="5"/>
        <w:framePr w:w="9653" w:h="14757" w:hRule="exact" w:wrap="none" w:vAnchor="page" w:hAnchor="page" w:x="1134" w:y="1045"/>
        <w:shd w:val="clear" w:color="auto" w:fill="auto"/>
        <w:spacing w:before="0" w:after="236"/>
        <w:ind w:left="20" w:right="20" w:firstLine="560"/>
      </w:pPr>
      <w:proofErr w:type="gramStart"/>
      <w:r>
        <w:t>по вопросам предпринимательской деятельности (связанные с налогообложением); порядка приема средств платежа при продаже товаров, выполнении работ, оказании услуг; использования кассового и иного оборудования при приеме средств платежа; игорного бизнеса; производства и оборота алкогольной, непищевой спиртосодержащей продукции, непищевого этилового спирта и табачных изделий; оборота табачного сырья; маркировки товаров унифицированными контрольными знаками или средствами идентификации.</w:t>
      </w:r>
      <w:proofErr w:type="gramEnd"/>
    </w:p>
    <w:p w:rsidR="0030473D" w:rsidRDefault="00481023">
      <w:pPr>
        <w:pStyle w:val="20"/>
        <w:framePr w:w="9653" w:h="14757" w:hRule="exact" w:wrap="none" w:vAnchor="page" w:hAnchor="page" w:x="1134" w:y="1045"/>
        <w:shd w:val="clear" w:color="auto" w:fill="auto"/>
        <w:spacing w:before="0"/>
        <w:ind w:left="20"/>
      </w:pPr>
      <w:r>
        <w:t>ПОРЯДОК НАПРАВЛЕНИЯ ОБРАЩЕНИЙ</w:t>
      </w:r>
    </w:p>
    <w:p w:rsidR="0030473D" w:rsidRDefault="00481023">
      <w:pPr>
        <w:pStyle w:val="5"/>
        <w:framePr w:w="9653" w:h="14757" w:hRule="exact" w:wrap="none" w:vAnchor="page" w:hAnchor="page" w:x="1134" w:y="1045"/>
        <w:shd w:val="clear" w:color="auto" w:fill="auto"/>
        <w:spacing w:before="0" w:line="346" w:lineRule="exact"/>
        <w:ind w:left="20" w:right="20" w:firstLine="560"/>
      </w:pPr>
      <w:r>
        <w:rPr>
          <w:rStyle w:val="12"/>
        </w:rPr>
        <w:t>Граждане, в том числе индивидуальные предприниматели, и юридические лица Республики Беларусь направляют о</w:t>
      </w:r>
      <w:r>
        <w:t>бращения в письменной или электронной форме.</w:t>
      </w:r>
    </w:p>
    <w:p w:rsidR="0030473D" w:rsidRDefault="00481023">
      <w:pPr>
        <w:pStyle w:val="5"/>
        <w:framePr w:w="9653" w:h="14757" w:hRule="exact" w:wrap="none" w:vAnchor="page" w:hAnchor="page" w:x="1134" w:y="1045"/>
        <w:shd w:val="clear" w:color="auto" w:fill="auto"/>
        <w:spacing w:before="0" w:line="346" w:lineRule="exact"/>
        <w:ind w:left="20" w:right="20" w:firstLine="560"/>
      </w:pPr>
      <w:r>
        <w:rPr>
          <w:rStyle w:val="0pt"/>
        </w:rPr>
        <w:t xml:space="preserve">Письменные обращения </w:t>
      </w:r>
      <w:r>
        <w:t>могут быть направлены нарочным (курьером), по почте, в ходе личного приема.</w:t>
      </w:r>
    </w:p>
    <w:p w:rsidR="0030473D" w:rsidRDefault="00481023">
      <w:pPr>
        <w:pStyle w:val="5"/>
        <w:framePr w:w="9653" w:h="14757" w:hRule="exact" w:wrap="none" w:vAnchor="page" w:hAnchor="page" w:x="1134" w:y="1045"/>
        <w:shd w:val="clear" w:color="auto" w:fill="auto"/>
        <w:spacing w:before="0" w:line="346" w:lineRule="exact"/>
        <w:ind w:left="20" w:right="20" w:firstLine="560"/>
      </w:pPr>
      <w:r>
        <w:rPr>
          <w:rStyle w:val="0pt0"/>
        </w:rPr>
        <w:t xml:space="preserve">Электронные обращения </w:t>
      </w:r>
      <w:r>
        <w:rPr>
          <w:rStyle w:val="21"/>
        </w:rPr>
        <w:t>направляются только</w:t>
      </w:r>
      <w:r>
        <w:t xml:space="preserve"> посредством государственной единой (интегрированной) республиканской информационной системы учета и обработки обращений граждан и юридических лиц -</w:t>
      </w:r>
      <w:hyperlink r:id="rId8" w:history="1"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обращения</w:t>
        </w:r>
        <w:proofErr w:type="gramStart"/>
        <w:r>
          <w:rPr>
            <w:rStyle w:val="a3"/>
          </w:rPr>
          <w:t>.б</w:t>
        </w:r>
        <w:proofErr w:type="gramEnd"/>
        <w:r>
          <w:rPr>
            <w:rStyle w:val="a3"/>
          </w:rPr>
          <w:t>ел</w:t>
        </w:r>
        <w:proofErr w:type="spellEnd"/>
      </w:hyperlink>
      <w:r>
        <w:rPr>
          <w:rStyle w:val="3"/>
        </w:rPr>
        <w:t>.</w:t>
      </w:r>
    </w:p>
    <w:p w:rsidR="0030473D" w:rsidRDefault="0030473D">
      <w:pPr>
        <w:rPr>
          <w:sz w:val="2"/>
          <w:szCs w:val="2"/>
        </w:rPr>
        <w:sectPr w:rsidR="0030473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0473D" w:rsidRDefault="00481023">
      <w:pPr>
        <w:pStyle w:val="31"/>
        <w:framePr w:w="9648" w:h="4063" w:hRule="exact" w:wrap="none" w:vAnchor="page" w:hAnchor="page" w:x="1136" w:y="1045"/>
        <w:shd w:val="clear" w:color="auto" w:fill="auto"/>
        <w:ind w:left="20" w:right="20"/>
      </w:pPr>
      <w:r>
        <w:rPr>
          <w:rStyle w:val="30pt"/>
          <w:i/>
          <w:iCs/>
        </w:rPr>
        <w:lastRenderedPageBreak/>
        <w:t xml:space="preserve">Внимание! Система </w:t>
      </w:r>
      <w:proofErr w:type="spellStart"/>
      <w:r>
        <w:rPr>
          <w:rStyle w:val="30pt"/>
          <w:i/>
          <w:iCs/>
        </w:rPr>
        <w:t>обращения</w:t>
      </w:r>
      <w:proofErr w:type="gramStart"/>
      <w:r>
        <w:rPr>
          <w:rStyle w:val="30pt"/>
          <w:i/>
          <w:iCs/>
        </w:rPr>
        <w:t>.б</w:t>
      </w:r>
      <w:proofErr w:type="gramEnd"/>
      <w:r>
        <w:rPr>
          <w:rStyle w:val="30pt"/>
          <w:i/>
          <w:iCs/>
        </w:rPr>
        <w:t>ел</w:t>
      </w:r>
      <w:proofErr w:type="spellEnd"/>
      <w:r>
        <w:rPr>
          <w:rStyle w:val="30pt"/>
          <w:i/>
          <w:iCs/>
        </w:rPr>
        <w:t xml:space="preserve"> не предназначена </w:t>
      </w:r>
      <w:r>
        <w:rPr>
          <w:rStyle w:val="32"/>
          <w:i/>
          <w:iCs/>
        </w:rPr>
        <w:t>для подачи жалоб на действия (бездействие) должностных лиц налоговых органов или на решение налогового органа. Такие жалобы подаются в электронной форме (для субъектов хозяйствования с ЭЦП, для физических лиц без ЭЦП) через Личный кабинет плательщика или в письменной форме на бумажном носителе.</w:t>
      </w:r>
    </w:p>
    <w:p w:rsidR="0030473D" w:rsidRDefault="00481023">
      <w:pPr>
        <w:pStyle w:val="20"/>
        <w:framePr w:w="9648" w:h="4063" w:hRule="exact" w:wrap="none" w:vAnchor="page" w:hAnchor="page" w:x="1136" w:y="1045"/>
        <w:shd w:val="clear" w:color="auto" w:fill="auto"/>
        <w:spacing w:before="0" w:after="240"/>
        <w:ind w:left="20" w:right="20"/>
      </w:pPr>
      <w:r>
        <w:rPr>
          <w:rStyle w:val="22"/>
          <w:b/>
          <w:bCs/>
        </w:rPr>
        <w:t>Электронные обращения, полученные на электронный адрес налогового органа, не рассматриваются.</w:t>
      </w:r>
    </w:p>
    <w:p w:rsidR="0030473D" w:rsidRDefault="00481023">
      <w:pPr>
        <w:pStyle w:val="5"/>
        <w:framePr w:w="9648" w:h="4063" w:hRule="exact" w:wrap="none" w:vAnchor="page" w:hAnchor="page" w:x="1136" w:y="1045"/>
        <w:shd w:val="clear" w:color="auto" w:fill="auto"/>
        <w:spacing w:before="0" w:line="346" w:lineRule="exact"/>
        <w:ind w:left="20" w:right="20" w:firstLine="560"/>
      </w:pPr>
      <w:r>
        <w:rPr>
          <w:rStyle w:val="12"/>
        </w:rPr>
        <w:t xml:space="preserve">С информацией о порядке рассмотрения обращений налоговыми органами можно ознакомиться на сайте Министерства по налогам и сборам в </w:t>
      </w:r>
      <w:hyperlink r:id="rId9" w:history="1">
        <w:r>
          <w:rPr>
            <w:rStyle w:val="a3"/>
          </w:rPr>
          <w:t xml:space="preserve">разделе </w:t>
        </w:r>
      </w:hyperlink>
      <w:r>
        <w:rPr>
          <w:rStyle w:val="12"/>
        </w:rPr>
        <w:t>«ОБРАЩЕНИЯ ГРАЖДАН И ЮРИДИЧЕСКИХ ЛИЦ».</w:t>
      </w:r>
    </w:p>
    <w:p w:rsidR="0030473D" w:rsidRDefault="0030473D">
      <w:pPr>
        <w:rPr>
          <w:sz w:val="2"/>
          <w:szCs w:val="2"/>
        </w:rPr>
      </w:pPr>
      <w:bookmarkStart w:id="3" w:name="_GoBack"/>
      <w:bookmarkEnd w:id="3"/>
    </w:p>
    <w:sectPr w:rsidR="0030473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023" w:rsidRDefault="00481023">
      <w:r>
        <w:separator/>
      </w:r>
    </w:p>
  </w:endnote>
  <w:endnote w:type="continuationSeparator" w:id="0">
    <w:p w:rsidR="00481023" w:rsidRDefault="0048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023" w:rsidRDefault="00481023"/>
  </w:footnote>
  <w:footnote w:type="continuationSeparator" w:id="0">
    <w:p w:rsidR="00481023" w:rsidRDefault="004810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F4798"/>
    <w:multiLevelType w:val="multilevel"/>
    <w:tmpl w:val="A27E4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0473D"/>
    <w:rsid w:val="0030473D"/>
    <w:rsid w:val="00481023"/>
    <w:rsid w:val="00F5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7"/>
      <w:szCs w:val="27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7"/>
      <w:szCs w:val="27"/>
      <w:u w:val="none"/>
    </w:rPr>
  </w:style>
  <w:style w:type="character" w:customStyle="1" w:styleId="10pt">
    <w:name w:val="Заголовок №1 + Не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7"/>
      <w:szCs w:val="27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7"/>
      <w:szCs w:val="27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7"/>
      <w:szCs w:val="27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7"/>
      <w:szCs w:val="27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7"/>
      <w:szCs w:val="27"/>
      <w:u w:val="singl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7"/>
      <w:szCs w:val="27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8"/>
      <w:szCs w:val="28"/>
      <w:u w:val="none"/>
    </w:rPr>
  </w:style>
  <w:style w:type="character" w:customStyle="1" w:styleId="30pt">
    <w:name w:val="Основной текст (3) + Полужирный;Интервал 0 pt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8"/>
      <w:szCs w:val="28"/>
      <w:u w:val="none"/>
      <w:lang w:val="ru-RU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7"/>
      <w:szCs w:val="27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-1"/>
      <w:sz w:val="27"/>
      <w:szCs w:val="27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420" w:line="341" w:lineRule="exact"/>
      <w:jc w:val="both"/>
    </w:pPr>
    <w:rPr>
      <w:rFonts w:ascii="Times New Roman" w:eastAsia="Times New Roman" w:hAnsi="Times New Roman" w:cs="Times New Roman"/>
      <w:spacing w:val="2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46" w:lineRule="exact"/>
      <w:ind w:firstLine="560"/>
      <w:jc w:val="both"/>
    </w:pPr>
    <w:rPr>
      <w:rFonts w:ascii="Times New Roman" w:eastAsia="Times New Roman" w:hAnsi="Times New Roman" w:cs="Times New Roman"/>
      <w:b/>
      <w:bCs/>
      <w:spacing w:val="-1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41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bnmycp7evc.xn--90ai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gov.by/appe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Гарцуева Светлана Ефимовна</dc:creator>
  <cp:lastModifiedBy>Кондылева Наталья Владимировна</cp:lastModifiedBy>
  <cp:revision>2</cp:revision>
  <dcterms:created xsi:type="dcterms:W3CDTF">2023-10-26T14:41:00Z</dcterms:created>
  <dcterms:modified xsi:type="dcterms:W3CDTF">2023-10-26T15:00:00Z</dcterms:modified>
</cp:coreProperties>
</file>