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5806C" w14:textId="77777777" w:rsidR="00CD61B8" w:rsidRDefault="00CD61B8" w:rsidP="00FA6D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Уважаемые граждане!</w:t>
      </w:r>
    </w:p>
    <w:p w14:paraId="205911D2" w14:textId="42E39BF1" w:rsidR="00CD61B8" w:rsidRPr="00FF1F4F" w:rsidRDefault="00CD61B8" w:rsidP="00FA6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У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плата имущественных налогов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CD61B8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lang w:eastAsia="ru-RU"/>
        </w:rPr>
        <w:t xml:space="preserve">(транспортный налог, земельный налог и налог на недвижимость)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за 2023 год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производится 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u w:val="single"/>
          <w:bdr w:val="none" w:sz="0" w:space="0" w:color="auto" w:frame="1"/>
          <w:lang w:eastAsia="ru-RU"/>
        </w:rPr>
        <w:t>единым имущественным платежом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 на один бюджетный счет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FF1F4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по адресу регистрации (прописки) физического лица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621B9293" w14:textId="24A158D8" w:rsidR="00CD61B8" w:rsidRDefault="00CD61B8" w:rsidP="00FA6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Срок уплаты – не позднее 15 ноября 2024 года, уплату единого имущественного платежа можно производить частями.</w:t>
      </w:r>
    </w:p>
    <w:p w14:paraId="55805EF7" w14:textId="50FEC08F" w:rsidR="00CD61B8" w:rsidRPr="00CD61B8" w:rsidRDefault="00172D16" w:rsidP="00FA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2948B2">
        <w:rPr>
          <w:rFonts w:ascii="Times New Roman" w:hAnsi="Times New Roman"/>
          <w:sz w:val="30"/>
          <w:szCs w:val="30"/>
        </w:rPr>
        <w:t>Налоговы</w:t>
      </w:r>
      <w:r>
        <w:rPr>
          <w:rFonts w:ascii="Times New Roman" w:hAnsi="Times New Roman"/>
          <w:sz w:val="30"/>
          <w:szCs w:val="30"/>
        </w:rPr>
        <w:t>ми</w:t>
      </w:r>
      <w:r w:rsidRPr="002948B2">
        <w:rPr>
          <w:rFonts w:ascii="Times New Roman" w:hAnsi="Times New Roman"/>
          <w:sz w:val="30"/>
          <w:szCs w:val="30"/>
        </w:rPr>
        <w:t xml:space="preserve"> орган</w:t>
      </w:r>
      <w:r>
        <w:rPr>
          <w:rFonts w:ascii="Times New Roman" w:hAnsi="Times New Roman"/>
          <w:sz w:val="30"/>
          <w:szCs w:val="30"/>
        </w:rPr>
        <w:t>ами</w:t>
      </w:r>
      <w:r w:rsidRPr="002948B2">
        <w:rPr>
          <w:rFonts w:ascii="Times New Roman" w:hAnsi="Times New Roman"/>
          <w:sz w:val="30"/>
          <w:szCs w:val="30"/>
        </w:rPr>
        <w:t xml:space="preserve"> </w:t>
      </w:r>
      <w:r w:rsidRPr="00172D16">
        <w:rPr>
          <w:rFonts w:ascii="Times New Roman" w:hAnsi="Times New Roman"/>
          <w:b/>
          <w:sz w:val="30"/>
          <w:szCs w:val="30"/>
        </w:rPr>
        <w:t xml:space="preserve">произведена рассылка физическим лицам извещений </w:t>
      </w:r>
      <w:r w:rsidRPr="002948B2">
        <w:rPr>
          <w:rFonts w:ascii="Times New Roman" w:hAnsi="Times New Roman"/>
          <w:sz w:val="30"/>
          <w:szCs w:val="30"/>
        </w:rPr>
        <w:t>на уплату имущественных налогов</w:t>
      </w:r>
      <w:r>
        <w:rPr>
          <w:rFonts w:ascii="Times New Roman" w:hAnsi="Times New Roman"/>
          <w:sz w:val="30"/>
          <w:szCs w:val="30"/>
        </w:rPr>
        <w:t xml:space="preserve"> в Личный кабинет плательщика </w:t>
      </w:r>
      <w:r w:rsidR="00CD61B8" w:rsidRPr="00CD61B8">
        <w:rPr>
          <w:rFonts w:ascii="Times New Roman" w:eastAsiaTheme="minorEastAsia" w:hAnsi="Times New Roman" w:cs="Times New Roman"/>
          <w:i/>
          <w:iCs/>
          <w:sz w:val="30"/>
          <w:szCs w:val="30"/>
          <w:lang w:eastAsia="ru-RU"/>
        </w:rPr>
        <w:t>(для граждан, зарегистрировавших личный кабинет на портале налоговых органов)</w:t>
      </w:r>
      <w:r w:rsidR="00CD61B8" w:rsidRPr="00CD61B8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14:paraId="3F3872F7" w14:textId="679D5C54" w:rsidR="00CD61B8" w:rsidRDefault="00CD61B8" w:rsidP="00FA6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Кроме того, всем физическим лицам-плательщикам имущественных налогов будут направлены извещения </w:t>
      </w:r>
      <w:r w:rsidRPr="00CD61B8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по почте не позднее 1 октября 2024 года</w:t>
      </w: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.</w:t>
      </w:r>
    </w:p>
    <w:p w14:paraId="739F3476" w14:textId="35B81305" w:rsidR="00CD61B8" w:rsidRDefault="00CD61B8" w:rsidP="00FA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CD61B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По вопросам</w:t>
      </w:r>
      <w:r w:rsidR="00C51D6A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порядка</w:t>
      </w:r>
      <w:r w:rsidRPr="00CD61B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уплаты имущественных налогов можно обратиться в любой налоговый орган Республики Беларусь, независимо от места жительства или места нахождения имущества.</w:t>
      </w:r>
    </w:p>
    <w:p w14:paraId="3AD32598" w14:textId="51560C83" w:rsidR="00172D16" w:rsidRDefault="00172D16" w:rsidP="00FA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219431BF" w14:textId="77777777" w:rsidR="00172D16" w:rsidRDefault="00172D16" w:rsidP="00172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Обращаем внимание! Уплата арендной платы производится физическими лицами самостоятельно на основании заключенных с ними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рай(гор)исполкомами</w:t>
      </w:r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договоров аренды земельного участка и (или) дополнительных соглашений к ним. Извещения на уплату арендной платы налоговыми органами не направляются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659FEE96" w14:textId="77777777" w:rsidR="00CB49D1" w:rsidRDefault="00CB49D1" w:rsidP="00172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4390E515" w14:textId="77777777" w:rsidR="00CB49D1" w:rsidRDefault="00CB49D1" w:rsidP="00172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bookmarkStart w:id="0" w:name="_GoBack"/>
      <w:bookmarkEnd w:id="0"/>
    </w:p>
    <w:p w14:paraId="2EEA747C" w14:textId="77777777" w:rsidR="001D574F" w:rsidRDefault="001D574F" w:rsidP="001D574F">
      <w:pPr>
        <w:pStyle w:val="20"/>
        <w:ind w:left="20" w:right="40" w:firstLine="700"/>
        <w:jc w:val="right"/>
      </w:pPr>
      <w:r>
        <w:t xml:space="preserve">Управление по работе с плательщиками </w:t>
      </w:r>
      <w:proofErr w:type="gramStart"/>
      <w:r>
        <w:t>по  Чаусскому</w:t>
      </w:r>
      <w:proofErr w:type="gramEnd"/>
      <w:r>
        <w:t xml:space="preserve"> району</w:t>
      </w:r>
    </w:p>
    <w:p w14:paraId="738393EF" w14:textId="77777777" w:rsidR="001D574F" w:rsidRDefault="001D574F" w:rsidP="001D574F">
      <w:pPr>
        <w:pStyle w:val="20"/>
        <w:ind w:left="20" w:right="40" w:firstLine="700"/>
        <w:jc w:val="right"/>
      </w:pPr>
      <w:r>
        <w:t xml:space="preserve">инспекции МНС Республики </w:t>
      </w:r>
      <w:proofErr w:type="gramStart"/>
      <w:r>
        <w:t>Беларусь  по</w:t>
      </w:r>
      <w:proofErr w:type="gramEnd"/>
      <w:r>
        <w:t xml:space="preserve"> Кричевскому району</w:t>
      </w:r>
    </w:p>
    <w:p w14:paraId="19CF1E54" w14:textId="77777777" w:rsidR="001D574F" w:rsidRDefault="001D574F" w:rsidP="001D574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802242 78774,802242 78798,  802242 78881</w:t>
      </w:r>
    </w:p>
    <w:p w14:paraId="20C133BC" w14:textId="77777777" w:rsidR="001D574F" w:rsidRDefault="001D574F" w:rsidP="00172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2CB01181" w14:textId="77777777" w:rsidR="00CD61B8" w:rsidRDefault="00CD61B8" w:rsidP="001D574F">
      <w:pPr>
        <w:spacing w:after="0" w:line="240" w:lineRule="exact"/>
        <w:rPr>
          <w:rFonts w:ascii="Times New Roman" w:hAnsi="Times New Roman"/>
          <w:sz w:val="30"/>
          <w:szCs w:val="30"/>
        </w:rPr>
      </w:pPr>
    </w:p>
    <w:p w14:paraId="28809D42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691DB069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33059844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78AF46A9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7736B90D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09662B13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2F8F3B6A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24E71E3D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517FBDA3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2C9AE7E3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4DBEC8DB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2B2C47C9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5CCAB5C5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67AC38E8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550FFD2A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617008C6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220D8FF0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7D57B543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28D1CBB2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3617AFAA" w14:textId="77777777" w:rsidR="00584411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45BAD79C" w14:textId="77777777" w:rsidR="00584411" w:rsidRPr="00AF6585" w:rsidRDefault="00584411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sectPr w:rsidR="00584411" w:rsidRPr="00AF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B8"/>
    <w:rsid w:val="00131C8F"/>
    <w:rsid w:val="00172D16"/>
    <w:rsid w:val="001D574F"/>
    <w:rsid w:val="00584411"/>
    <w:rsid w:val="00A07592"/>
    <w:rsid w:val="00C51D6A"/>
    <w:rsid w:val="00CB49D1"/>
    <w:rsid w:val="00CD61B8"/>
    <w:rsid w:val="00FA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A3D4"/>
  <w15:chartTrackingRefBased/>
  <w15:docId w15:val="{137D5FEB-4640-4A81-9834-A714B797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1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1D574F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574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Бодунова Людмила Владимировна</cp:lastModifiedBy>
  <cp:revision>5</cp:revision>
  <cp:lastPrinted>2024-08-14T11:46:00Z</cp:lastPrinted>
  <dcterms:created xsi:type="dcterms:W3CDTF">2024-08-14T11:10:00Z</dcterms:created>
  <dcterms:modified xsi:type="dcterms:W3CDTF">2024-08-14T11:55:00Z</dcterms:modified>
</cp:coreProperties>
</file>